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896FC" w14:textId="77777777" w:rsidR="00942B7D" w:rsidRDefault="00942B7D" w:rsidP="005000D2">
      <w:pPr>
        <w:rPr>
          <w:rFonts w:ascii="Arial" w:hAnsi="Arial" w:cs="Arial"/>
          <w:bCs/>
          <w:sz w:val="22"/>
          <w:szCs w:val="22"/>
        </w:rPr>
      </w:pPr>
    </w:p>
    <w:p w14:paraId="73D5FAE4" w14:textId="77777777" w:rsidR="00942B7D" w:rsidRDefault="00942B7D" w:rsidP="005000D2">
      <w:pPr>
        <w:rPr>
          <w:rFonts w:ascii="Arial" w:hAnsi="Arial" w:cs="Arial"/>
          <w:bCs/>
          <w:sz w:val="22"/>
          <w:szCs w:val="22"/>
        </w:rPr>
      </w:pPr>
    </w:p>
    <w:p w14:paraId="6CF892B0" w14:textId="78551A11" w:rsidR="005000D2" w:rsidRPr="007F5716" w:rsidRDefault="003E3A4E" w:rsidP="005000D2">
      <w:pPr>
        <w:rPr>
          <w:rFonts w:ascii="Arial" w:hAnsi="Arial" w:cs="Arial"/>
          <w:bCs/>
          <w:sz w:val="22"/>
          <w:szCs w:val="22"/>
        </w:rPr>
      </w:pPr>
      <w:r>
        <w:rPr>
          <w:rFonts w:ascii="Arial" w:hAnsi="Arial" w:cs="Arial"/>
          <w:bCs/>
          <w:sz w:val="22"/>
          <w:szCs w:val="22"/>
        </w:rPr>
        <w:t>May 20</w:t>
      </w:r>
      <w:r w:rsidR="007F5716" w:rsidRPr="007F5716">
        <w:rPr>
          <w:rFonts w:ascii="Arial" w:hAnsi="Arial" w:cs="Arial"/>
          <w:bCs/>
          <w:sz w:val="22"/>
          <w:szCs w:val="22"/>
        </w:rPr>
        <w:t>, 2022</w:t>
      </w:r>
    </w:p>
    <w:p w14:paraId="17206486" w14:textId="77777777" w:rsidR="00E455B7" w:rsidRPr="00A83CE9" w:rsidRDefault="00E455B7" w:rsidP="00E455B7">
      <w:pPr>
        <w:rPr>
          <w:rFonts w:ascii="Arial" w:hAnsi="Arial" w:cs="Arial"/>
          <w:b/>
          <w:sz w:val="28"/>
          <w:szCs w:val="28"/>
        </w:rPr>
      </w:pPr>
    </w:p>
    <w:p w14:paraId="50BD2273" w14:textId="77777777" w:rsidR="00E455B7" w:rsidRPr="00A83CE9" w:rsidRDefault="00E455B7" w:rsidP="00E455B7">
      <w:pPr>
        <w:rPr>
          <w:rFonts w:ascii="Arial" w:hAnsi="Arial" w:cs="Arial"/>
          <w:sz w:val="22"/>
        </w:rPr>
      </w:pPr>
      <w:r w:rsidRPr="00A83CE9">
        <w:rPr>
          <w:rFonts w:ascii="Arial" w:hAnsi="Arial" w:cs="Arial"/>
          <w:sz w:val="22"/>
        </w:rPr>
        <w:t>Dear participant or beneficiary:</w:t>
      </w:r>
    </w:p>
    <w:p w14:paraId="02DF7158" w14:textId="77777777" w:rsidR="00E455B7" w:rsidRPr="00D64E1C" w:rsidRDefault="00E455B7" w:rsidP="00E455B7">
      <w:pPr>
        <w:rPr>
          <w:rFonts w:ascii="Arial" w:hAnsi="Arial" w:cs="Arial"/>
          <w:sz w:val="22"/>
        </w:rPr>
      </w:pPr>
    </w:p>
    <w:p w14:paraId="510BEF18" w14:textId="4F64CCCE" w:rsidR="0002316C" w:rsidRDefault="00E455B7" w:rsidP="0002316C">
      <w:pPr>
        <w:rPr>
          <w:rFonts w:ascii="Arial" w:hAnsi="Arial" w:cs="Arial"/>
          <w:sz w:val="22"/>
        </w:rPr>
      </w:pPr>
      <w:r w:rsidRPr="00D64E1C">
        <w:rPr>
          <w:rFonts w:ascii="Arial" w:hAnsi="Arial" w:cs="Arial"/>
          <w:sz w:val="22"/>
        </w:rPr>
        <w:t>We wanted to let you know that we’re making changes to the</w:t>
      </w:r>
      <w:r w:rsidR="00B44E67" w:rsidRPr="00D64E1C">
        <w:rPr>
          <w:rFonts w:ascii="Arial" w:hAnsi="Arial" w:cs="Arial"/>
          <w:sz w:val="22"/>
        </w:rPr>
        <w:t xml:space="preserve"> </w:t>
      </w:r>
      <w:r w:rsidR="007F5716" w:rsidRPr="00D64E1C">
        <w:rPr>
          <w:rFonts w:ascii="Arial" w:hAnsi="Arial" w:cs="Arial"/>
          <w:sz w:val="22"/>
        </w:rPr>
        <w:t>MACED 403(b) Plan.</w:t>
      </w:r>
      <w:r w:rsidR="008C1611">
        <w:rPr>
          <w:rFonts w:ascii="Arial" w:hAnsi="Arial" w:cs="Arial"/>
          <w:sz w:val="22"/>
        </w:rPr>
        <w:t xml:space="preserve">  </w:t>
      </w:r>
      <w:r w:rsidR="00E03A42">
        <w:rPr>
          <w:rFonts w:ascii="Arial" w:hAnsi="Arial" w:cs="Arial"/>
          <w:sz w:val="22"/>
        </w:rPr>
        <w:t>While</w:t>
      </w:r>
      <w:r w:rsidR="00E03A42" w:rsidRPr="00B0144F">
        <w:rPr>
          <w:rFonts w:ascii="Arial" w:hAnsi="Arial" w:cs="Arial"/>
          <w:sz w:val="22"/>
        </w:rPr>
        <w:t xml:space="preserve"> </w:t>
      </w:r>
      <w:r w:rsidR="00E03A42">
        <w:rPr>
          <w:rFonts w:ascii="Arial" w:hAnsi="Arial" w:cs="Arial"/>
          <w:sz w:val="22"/>
        </w:rPr>
        <w:t>Capital Group, home of A</w:t>
      </w:r>
      <w:r w:rsidR="00E03A42" w:rsidRPr="00A83CE9">
        <w:rPr>
          <w:rFonts w:ascii="Arial" w:hAnsi="Arial" w:cs="Arial"/>
          <w:sz w:val="22"/>
        </w:rPr>
        <w:t>merican Funds</w:t>
      </w:r>
      <w:r w:rsidR="00E03A42" w:rsidRPr="00A83CE9">
        <w:rPr>
          <w:rFonts w:ascii="Arial" w:hAnsi="Arial" w:cs="Arial"/>
          <w:sz w:val="22"/>
          <w:vertAlign w:val="superscript"/>
        </w:rPr>
        <w:t>®</w:t>
      </w:r>
      <w:r w:rsidR="00E03A42">
        <w:rPr>
          <w:rFonts w:ascii="Arial" w:hAnsi="Arial" w:cs="Arial"/>
          <w:sz w:val="22"/>
        </w:rPr>
        <w:t xml:space="preserve">, will continue to be the plan’s recordkeeping provider, beginning </w:t>
      </w:r>
      <w:r w:rsidR="007F5716">
        <w:rPr>
          <w:rFonts w:ascii="Arial" w:hAnsi="Arial" w:cs="Arial"/>
          <w:sz w:val="22"/>
        </w:rPr>
        <w:t>June 29, 2022,</w:t>
      </w:r>
      <w:r w:rsidR="00E03A42">
        <w:rPr>
          <w:rFonts w:ascii="Arial" w:hAnsi="Arial" w:cs="Arial"/>
          <w:sz w:val="22"/>
        </w:rPr>
        <w:t xml:space="preserve"> the plan will transfer to another A</w:t>
      </w:r>
      <w:r w:rsidR="00E03A42" w:rsidRPr="00A83CE9">
        <w:rPr>
          <w:rFonts w:ascii="Arial" w:hAnsi="Arial" w:cs="Arial"/>
          <w:sz w:val="22"/>
        </w:rPr>
        <w:t xml:space="preserve">merican Funds </w:t>
      </w:r>
      <w:r w:rsidR="00E03A42">
        <w:rPr>
          <w:rFonts w:ascii="Arial" w:hAnsi="Arial" w:cs="Arial"/>
          <w:sz w:val="22"/>
        </w:rPr>
        <w:t xml:space="preserve">retirement platform.  </w:t>
      </w:r>
      <w:r w:rsidR="00BD27F4">
        <w:rPr>
          <w:rFonts w:ascii="Arial" w:hAnsi="Arial" w:cs="Arial"/>
          <w:sz w:val="22"/>
        </w:rPr>
        <w:t xml:space="preserve">An asset transfer will be required to accomplish this conversion.  </w:t>
      </w:r>
      <w:r w:rsidR="00267128">
        <w:rPr>
          <w:rFonts w:ascii="Arial" w:hAnsi="Arial" w:cs="Arial"/>
          <w:sz w:val="22"/>
        </w:rPr>
        <w:t xml:space="preserve"> </w:t>
      </w:r>
    </w:p>
    <w:p w14:paraId="51E0596A" w14:textId="77777777" w:rsidR="00837864" w:rsidRPr="00A83CE9" w:rsidRDefault="00837864" w:rsidP="00E455B7">
      <w:pPr>
        <w:rPr>
          <w:rFonts w:ascii="Arial" w:hAnsi="Arial" w:cs="Arial"/>
          <w:sz w:val="22"/>
        </w:rPr>
      </w:pPr>
    </w:p>
    <w:p w14:paraId="26D3255B" w14:textId="77777777" w:rsidR="00267128" w:rsidRPr="00281BBB" w:rsidRDefault="00267128" w:rsidP="00267128">
      <w:pPr>
        <w:rPr>
          <w:rFonts w:ascii="Arial" w:hAnsi="Arial" w:cs="Arial"/>
          <w:b/>
          <w:sz w:val="22"/>
          <w:szCs w:val="22"/>
        </w:rPr>
      </w:pPr>
      <w:r w:rsidRPr="00281BBB">
        <w:rPr>
          <w:rFonts w:ascii="Arial" w:hAnsi="Arial" w:cs="Arial"/>
          <w:b/>
          <w:sz w:val="22"/>
          <w:szCs w:val="22"/>
        </w:rPr>
        <w:t>Impact on your plan access</w:t>
      </w:r>
    </w:p>
    <w:p w14:paraId="0D4CD27A" w14:textId="77777777" w:rsidR="00267128" w:rsidRDefault="00267128" w:rsidP="00267128">
      <w:pPr>
        <w:rPr>
          <w:rFonts w:ascii="Arial" w:hAnsi="Arial" w:cs="Arial"/>
          <w:sz w:val="22"/>
          <w:szCs w:val="22"/>
        </w:rPr>
      </w:pPr>
    </w:p>
    <w:p w14:paraId="5733518F" w14:textId="77777777" w:rsidR="0002316C" w:rsidRDefault="008C1611" w:rsidP="00267128">
      <w:pPr>
        <w:rPr>
          <w:rFonts w:ascii="Arial" w:hAnsi="Arial" w:cs="Arial"/>
          <w:sz w:val="22"/>
          <w:szCs w:val="22"/>
        </w:rPr>
      </w:pPr>
      <w:r>
        <w:rPr>
          <w:rFonts w:ascii="Arial" w:hAnsi="Arial" w:cs="Arial"/>
          <w:sz w:val="22"/>
          <w:szCs w:val="22"/>
        </w:rPr>
        <w:t>As a result of this transition, access to your account will be temporarily restricted. This period is known as a “blackout period</w:t>
      </w:r>
      <w:r w:rsidR="00A77313">
        <w:rPr>
          <w:rFonts w:ascii="Arial" w:hAnsi="Arial" w:cs="Arial"/>
          <w:sz w:val="22"/>
          <w:szCs w:val="22"/>
        </w:rPr>
        <w:t>.</w:t>
      </w:r>
      <w:r>
        <w:rPr>
          <w:rFonts w:ascii="Arial" w:hAnsi="Arial" w:cs="Arial"/>
          <w:sz w:val="22"/>
          <w:szCs w:val="22"/>
        </w:rPr>
        <w:t xml:space="preserve">”  </w:t>
      </w:r>
      <w:r w:rsidR="005845E3">
        <w:rPr>
          <w:rFonts w:ascii="Arial" w:hAnsi="Arial" w:cs="Arial"/>
          <w:sz w:val="22"/>
          <w:szCs w:val="22"/>
        </w:rPr>
        <w:t>We encourage you to carefully consider how this blackout period may affect</w:t>
      </w:r>
      <w:r w:rsidR="007B678D">
        <w:rPr>
          <w:rFonts w:ascii="Arial" w:hAnsi="Arial" w:cs="Arial"/>
          <w:sz w:val="22"/>
          <w:szCs w:val="22"/>
        </w:rPr>
        <w:t xml:space="preserve"> your retirement planning.</w:t>
      </w:r>
    </w:p>
    <w:p w14:paraId="66CCC07A" w14:textId="77777777" w:rsidR="0002316C" w:rsidRPr="00281BBB" w:rsidRDefault="0002316C" w:rsidP="00267128">
      <w:pPr>
        <w:rPr>
          <w:rFonts w:ascii="Arial" w:hAnsi="Arial" w:cs="Arial"/>
          <w:sz w:val="22"/>
          <w:szCs w:val="22"/>
        </w:rPr>
      </w:pPr>
    </w:p>
    <w:p w14:paraId="5800E6E1" w14:textId="00565B3F" w:rsidR="00267128" w:rsidRPr="00474D22" w:rsidRDefault="00267128" w:rsidP="00267128">
      <w:pPr>
        <w:rPr>
          <w:rFonts w:ascii="Arial" w:hAnsi="Arial" w:cs="Arial"/>
          <w:sz w:val="22"/>
        </w:rPr>
      </w:pPr>
      <w:r w:rsidRPr="008738EC">
        <w:rPr>
          <w:rFonts w:ascii="Arial" w:hAnsi="Arial" w:cs="Arial"/>
          <w:sz w:val="22"/>
        </w:rPr>
        <w:t xml:space="preserve">The plan’s blackout period </w:t>
      </w:r>
      <w:r w:rsidR="00034F59" w:rsidRPr="008738EC">
        <w:rPr>
          <w:rFonts w:ascii="Arial" w:hAnsi="Arial" w:cs="Arial"/>
          <w:sz w:val="22"/>
        </w:rPr>
        <w:t>is expected to begin</w:t>
      </w:r>
      <w:r w:rsidRPr="008738EC">
        <w:rPr>
          <w:rFonts w:ascii="Arial" w:hAnsi="Arial" w:cs="Arial"/>
          <w:sz w:val="22"/>
        </w:rPr>
        <w:t xml:space="preserve"> </w:t>
      </w:r>
      <w:r w:rsidR="00E960BB">
        <w:rPr>
          <w:rFonts w:ascii="Arial" w:hAnsi="Arial" w:cs="Arial"/>
          <w:sz w:val="22"/>
        </w:rPr>
        <w:t>on</w:t>
      </w:r>
      <w:r w:rsidR="007F5716">
        <w:rPr>
          <w:rFonts w:ascii="Arial" w:hAnsi="Arial" w:cs="Arial"/>
          <w:sz w:val="22"/>
        </w:rPr>
        <w:t xml:space="preserve"> June 2</w:t>
      </w:r>
      <w:r w:rsidR="00CB12E9">
        <w:rPr>
          <w:rFonts w:ascii="Arial" w:hAnsi="Arial" w:cs="Arial"/>
          <w:sz w:val="22"/>
        </w:rPr>
        <w:t>2</w:t>
      </w:r>
      <w:r w:rsidR="007F5716">
        <w:rPr>
          <w:rFonts w:ascii="Arial" w:hAnsi="Arial" w:cs="Arial"/>
          <w:sz w:val="22"/>
        </w:rPr>
        <w:t xml:space="preserve">, 2022, </w:t>
      </w:r>
      <w:r w:rsidRPr="008738EC">
        <w:rPr>
          <w:rFonts w:ascii="Arial" w:hAnsi="Arial" w:cs="Arial"/>
          <w:sz w:val="22"/>
        </w:rPr>
        <w:t>and</w:t>
      </w:r>
      <w:r w:rsidR="00034F59" w:rsidRPr="008738EC">
        <w:rPr>
          <w:rFonts w:ascii="Arial" w:hAnsi="Arial" w:cs="Arial"/>
          <w:sz w:val="22"/>
        </w:rPr>
        <w:t xml:space="preserve"> end</w:t>
      </w:r>
      <w:r w:rsidRPr="008738EC">
        <w:rPr>
          <w:rFonts w:ascii="Arial" w:hAnsi="Arial" w:cs="Arial"/>
          <w:sz w:val="22"/>
        </w:rPr>
        <w:t xml:space="preserve"> </w:t>
      </w:r>
      <w:r w:rsidR="00F80650" w:rsidRPr="008738EC">
        <w:rPr>
          <w:rFonts w:ascii="Arial" w:hAnsi="Arial" w:cs="Arial"/>
          <w:sz w:val="22"/>
        </w:rPr>
        <w:t>during the week of</w:t>
      </w:r>
      <w:r w:rsidR="007F5716">
        <w:rPr>
          <w:rFonts w:ascii="Arial" w:hAnsi="Arial" w:cs="Arial"/>
          <w:sz w:val="22"/>
        </w:rPr>
        <w:t xml:space="preserve"> July 1</w:t>
      </w:r>
      <w:r w:rsidR="00CB12E9">
        <w:rPr>
          <w:rFonts w:ascii="Arial" w:hAnsi="Arial" w:cs="Arial"/>
          <w:sz w:val="22"/>
        </w:rPr>
        <w:t>0</w:t>
      </w:r>
      <w:r w:rsidR="007F5716">
        <w:rPr>
          <w:rFonts w:ascii="Arial" w:hAnsi="Arial" w:cs="Arial"/>
          <w:sz w:val="22"/>
        </w:rPr>
        <w:t>, 2022.</w:t>
      </w:r>
      <w:r w:rsidR="00526B3A" w:rsidRPr="008738EC">
        <w:rPr>
          <w:rFonts w:ascii="Arial" w:hAnsi="Arial" w:cs="Arial"/>
          <w:b/>
          <w:color w:val="FF0000"/>
          <w:sz w:val="22"/>
        </w:rPr>
        <w:t xml:space="preserve">  </w:t>
      </w:r>
      <w:r w:rsidR="006E56D1" w:rsidRPr="00474D22">
        <w:rPr>
          <w:rFonts w:ascii="Arial" w:hAnsi="Arial" w:cs="Arial"/>
          <w:b/>
          <w:vanish/>
          <w:color w:val="FF0000"/>
          <w:sz w:val="22"/>
        </w:rPr>
        <w:t>**Week means seven day period beginning on Sunday and ending on Saturday**</w:t>
      </w:r>
      <w:r w:rsidRPr="00474D22">
        <w:rPr>
          <w:rFonts w:ascii="Arial" w:hAnsi="Arial" w:cs="Arial"/>
          <w:b/>
          <w:vanish/>
          <w:color w:val="FF0000"/>
          <w:sz w:val="22"/>
        </w:rPr>
        <w:t xml:space="preserve"> </w:t>
      </w:r>
      <w:r w:rsidRPr="00474D22">
        <w:rPr>
          <w:rFonts w:ascii="Arial" w:hAnsi="Arial" w:cs="Arial"/>
          <w:sz w:val="22"/>
        </w:rPr>
        <w:t xml:space="preserve">During this period, you will </w:t>
      </w:r>
      <w:r w:rsidR="007B678D">
        <w:rPr>
          <w:rFonts w:ascii="Arial" w:hAnsi="Arial" w:cs="Arial"/>
          <w:sz w:val="22"/>
        </w:rPr>
        <w:t xml:space="preserve">temporarily </w:t>
      </w:r>
      <w:r w:rsidRPr="00474D22">
        <w:rPr>
          <w:rFonts w:ascii="Arial" w:hAnsi="Arial" w:cs="Arial"/>
          <w:sz w:val="22"/>
        </w:rPr>
        <w:t>be unable to</w:t>
      </w:r>
      <w:r w:rsidR="00A77313">
        <w:rPr>
          <w:rFonts w:ascii="Arial" w:hAnsi="Arial" w:cs="Arial"/>
          <w:sz w:val="22"/>
        </w:rPr>
        <w:t>:</w:t>
      </w:r>
    </w:p>
    <w:p w14:paraId="35A6286B" w14:textId="77777777" w:rsidR="00267128" w:rsidRPr="00474D22" w:rsidRDefault="00267128" w:rsidP="00267128">
      <w:pPr>
        <w:rPr>
          <w:rFonts w:ascii="Arial" w:hAnsi="Arial" w:cs="Arial"/>
          <w:sz w:val="22"/>
        </w:rPr>
      </w:pPr>
    </w:p>
    <w:p w14:paraId="4269732D" w14:textId="77777777" w:rsidR="005310EA" w:rsidRPr="00092AEB" w:rsidRDefault="00267128" w:rsidP="005310EA">
      <w:pPr>
        <w:numPr>
          <w:ilvl w:val="0"/>
          <w:numId w:val="1"/>
        </w:numPr>
        <w:rPr>
          <w:rFonts w:ascii="Arial" w:hAnsi="Arial" w:cs="Arial"/>
          <w:sz w:val="22"/>
          <w:szCs w:val="22"/>
        </w:rPr>
      </w:pPr>
      <w:r w:rsidRPr="000E546B">
        <w:rPr>
          <w:rFonts w:ascii="Arial" w:hAnsi="Arial" w:cs="Arial"/>
          <w:sz w:val="22"/>
          <w:szCs w:val="22"/>
        </w:rPr>
        <w:t>Chang</w:t>
      </w:r>
      <w:r w:rsidR="00A77313">
        <w:rPr>
          <w:rFonts w:ascii="Arial" w:hAnsi="Arial" w:cs="Arial"/>
          <w:sz w:val="22"/>
          <w:szCs w:val="22"/>
        </w:rPr>
        <w:t>e</w:t>
      </w:r>
      <w:r w:rsidRPr="000E546B">
        <w:rPr>
          <w:rFonts w:ascii="Arial" w:hAnsi="Arial" w:cs="Arial"/>
          <w:sz w:val="22"/>
          <w:szCs w:val="22"/>
        </w:rPr>
        <w:t xml:space="preserve"> how your future contributions will be </w:t>
      </w:r>
      <w:r w:rsidRPr="00092AEB">
        <w:rPr>
          <w:rFonts w:ascii="Arial" w:hAnsi="Arial" w:cs="Arial"/>
          <w:sz w:val="22"/>
          <w:szCs w:val="22"/>
        </w:rPr>
        <w:t>invested</w:t>
      </w:r>
      <w:r w:rsidR="00526B3A" w:rsidRPr="00092AEB">
        <w:rPr>
          <w:rFonts w:ascii="Arial" w:hAnsi="Arial" w:cs="Arial"/>
          <w:sz w:val="22"/>
          <w:szCs w:val="22"/>
        </w:rPr>
        <w:t xml:space="preserve"> </w:t>
      </w:r>
      <w:r w:rsidR="000E546B" w:rsidRPr="00092AEB">
        <w:rPr>
          <w:rFonts w:ascii="Arial" w:hAnsi="Arial" w:cs="Arial"/>
          <w:b/>
          <w:sz w:val="22"/>
          <w:szCs w:val="22"/>
        </w:rPr>
        <w:t xml:space="preserve"> </w:t>
      </w:r>
    </w:p>
    <w:p w14:paraId="62746B2C" w14:textId="77777777" w:rsidR="00267128" w:rsidRPr="00092AEB" w:rsidRDefault="00267128" w:rsidP="005310EA">
      <w:pPr>
        <w:numPr>
          <w:ilvl w:val="0"/>
          <w:numId w:val="1"/>
        </w:numPr>
        <w:rPr>
          <w:rFonts w:ascii="Arial" w:hAnsi="Arial" w:cs="Arial"/>
          <w:sz w:val="22"/>
          <w:szCs w:val="22"/>
        </w:rPr>
      </w:pPr>
      <w:r w:rsidRPr="00092AEB">
        <w:rPr>
          <w:rFonts w:ascii="Arial" w:hAnsi="Arial" w:cs="Arial"/>
          <w:sz w:val="22"/>
          <w:szCs w:val="22"/>
        </w:rPr>
        <w:t>Chang</w:t>
      </w:r>
      <w:r w:rsidR="00A77313">
        <w:rPr>
          <w:rFonts w:ascii="Arial" w:hAnsi="Arial" w:cs="Arial"/>
          <w:sz w:val="22"/>
          <w:szCs w:val="22"/>
        </w:rPr>
        <w:t>e</w:t>
      </w:r>
      <w:r w:rsidRPr="00092AEB">
        <w:rPr>
          <w:rFonts w:ascii="Arial" w:hAnsi="Arial" w:cs="Arial"/>
          <w:sz w:val="22"/>
          <w:szCs w:val="22"/>
        </w:rPr>
        <w:t xml:space="preserve"> how your existing account balance is invested</w:t>
      </w:r>
    </w:p>
    <w:p w14:paraId="2740716B" w14:textId="2E6121DD" w:rsidR="00267128" w:rsidRPr="00092AEB" w:rsidRDefault="00267128" w:rsidP="00267128">
      <w:pPr>
        <w:numPr>
          <w:ilvl w:val="0"/>
          <w:numId w:val="1"/>
        </w:numPr>
        <w:rPr>
          <w:rFonts w:ascii="Arial" w:hAnsi="Arial" w:cs="Arial"/>
          <w:sz w:val="22"/>
          <w:szCs w:val="22"/>
        </w:rPr>
      </w:pPr>
      <w:r w:rsidRPr="00092AEB">
        <w:rPr>
          <w:rFonts w:ascii="Arial" w:hAnsi="Arial" w:cs="Arial"/>
          <w:sz w:val="22"/>
          <w:szCs w:val="22"/>
        </w:rPr>
        <w:t xml:space="preserve">Request a </w:t>
      </w:r>
      <w:r w:rsidR="00F97A2A" w:rsidRPr="00092AEB">
        <w:rPr>
          <w:rFonts w:ascii="Arial" w:hAnsi="Arial" w:cs="Arial"/>
          <w:sz w:val="22"/>
          <w:szCs w:val="22"/>
        </w:rPr>
        <w:t xml:space="preserve">distribution </w:t>
      </w:r>
    </w:p>
    <w:p w14:paraId="6E4BE811" w14:textId="77777777" w:rsidR="00267128" w:rsidRPr="00281BBB" w:rsidRDefault="00267128" w:rsidP="00267128">
      <w:pPr>
        <w:rPr>
          <w:rFonts w:ascii="Arial" w:hAnsi="Arial" w:cs="Arial"/>
          <w:sz w:val="20"/>
        </w:rPr>
      </w:pPr>
    </w:p>
    <w:p w14:paraId="7112B7FA" w14:textId="33DCB482" w:rsidR="00646133" w:rsidRDefault="00267128" w:rsidP="00646133">
      <w:pPr>
        <w:rPr>
          <w:rFonts w:ascii="Arial" w:hAnsi="Arial" w:cs="Arial"/>
          <w:sz w:val="22"/>
        </w:rPr>
      </w:pPr>
      <w:r w:rsidRPr="00281BBB">
        <w:rPr>
          <w:rFonts w:ascii="Arial" w:hAnsi="Arial" w:cs="Arial"/>
          <w:sz w:val="22"/>
          <w:szCs w:val="22"/>
        </w:rPr>
        <w:t>If you want to request a distribution</w:t>
      </w:r>
      <w:r w:rsidR="00915E9C">
        <w:rPr>
          <w:rFonts w:ascii="Arial" w:hAnsi="Arial" w:cs="Arial"/>
          <w:color w:val="FF0000"/>
          <w:sz w:val="22"/>
        </w:rPr>
        <w:t xml:space="preserve"> </w:t>
      </w:r>
      <w:r w:rsidRPr="00281BBB">
        <w:rPr>
          <w:rFonts w:ascii="Arial" w:hAnsi="Arial" w:cs="Arial"/>
          <w:sz w:val="22"/>
          <w:szCs w:val="22"/>
        </w:rPr>
        <w:t xml:space="preserve">before the </w:t>
      </w:r>
      <w:r w:rsidR="005845E3">
        <w:rPr>
          <w:rFonts w:ascii="Arial" w:hAnsi="Arial" w:cs="Arial"/>
          <w:sz w:val="22"/>
          <w:szCs w:val="22"/>
        </w:rPr>
        <w:t>b</w:t>
      </w:r>
      <w:r w:rsidR="007519C4">
        <w:rPr>
          <w:rFonts w:ascii="Arial" w:hAnsi="Arial" w:cs="Arial"/>
          <w:sz w:val="22"/>
          <w:szCs w:val="22"/>
        </w:rPr>
        <w:t xml:space="preserve">lackout </w:t>
      </w:r>
      <w:r w:rsidR="005845E3">
        <w:rPr>
          <w:rFonts w:ascii="Arial" w:hAnsi="Arial" w:cs="Arial"/>
          <w:sz w:val="22"/>
          <w:szCs w:val="22"/>
        </w:rPr>
        <w:t>p</w:t>
      </w:r>
      <w:r w:rsidRPr="00281BBB">
        <w:rPr>
          <w:rFonts w:ascii="Arial" w:hAnsi="Arial" w:cs="Arial"/>
          <w:sz w:val="22"/>
          <w:szCs w:val="22"/>
        </w:rPr>
        <w:t>eriod</w:t>
      </w:r>
      <w:r w:rsidR="00A77313">
        <w:rPr>
          <w:rFonts w:ascii="Arial" w:hAnsi="Arial" w:cs="Arial"/>
          <w:sz w:val="22"/>
          <w:szCs w:val="22"/>
        </w:rPr>
        <w:t xml:space="preserve"> begins</w:t>
      </w:r>
      <w:r w:rsidRPr="00281BBB">
        <w:rPr>
          <w:rFonts w:ascii="Arial" w:hAnsi="Arial" w:cs="Arial"/>
          <w:sz w:val="22"/>
          <w:szCs w:val="22"/>
        </w:rPr>
        <w:t xml:space="preserve">, you must </w:t>
      </w:r>
      <w:r w:rsidR="004050E7">
        <w:rPr>
          <w:rFonts w:ascii="Arial" w:hAnsi="Arial" w:cs="Arial"/>
          <w:sz w:val="22"/>
          <w:szCs w:val="22"/>
        </w:rPr>
        <w:t>contact your plan administrator for additional information</w:t>
      </w:r>
      <w:r w:rsidR="00A77313">
        <w:rPr>
          <w:rFonts w:ascii="Arial" w:hAnsi="Arial" w:cs="Arial"/>
          <w:sz w:val="22"/>
          <w:szCs w:val="22"/>
        </w:rPr>
        <w:t>,</w:t>
      </w:r>
      <w:r w:rsidR="004050E7">
        <w:rPr>
          <w:rFonts w:ascii="Arial" w:hAnsi="Arial" w:cs="Arial"/>
          <w:sz w:val="22"/>
          <w:szCs w:val="22"/>
        </w:rPr>
        <w:t xml:space="preserve"> including the deadline</w:t>
      </w:r>
      <w:r w:rsidR="00A77313">
        <w:rPr>
          <w:rFonts w:ascii="Arial" w:hAnsi="Arial" w:cs="Arial"/>
          <w:sz w:val="22"/>
          <w:szCs w:val="22"/>
        </w:rPr>
        <w:t xml:space="preserve"> </w:t>
      </w:r>
      <w:r w:rsidR="00CA7341">
        <w:rPr>
          <w:rFonts w:ascii="Arial" w:hAnsi="Arial" w:cs="Arial"/>
          <w:sz w:val="22"/>
          <w:szCs w:val="22"/>
        </w:rPr>
        <w:t xml:space="preserve">to submit the </w:t>
      </w:r>
      <w:r w:rsidR="004050E7">
        <w:rPr>
          <w:rFonts w:ascii="Arial" w:hAnsi="Arial" w:cs="Arial"/>
          <w:sz w:val="22"/>
          <w:szCs w:val="22"/>
        </w:rPr>
        <w:t xml:space="preserve">request.  </w:t>
      </w:r>
      <w:r w:rsidR="00646133" w:rsidRPr="00D47472">
        <w:rPr>
          <w:rFonts w:ascii="Arial" w:hAnsi="Arial" w:cs="Arial"/>
          <w:sz w:val="22"/>
        </w:rPr>
        <w:t xml:space="preserve">Otherwise, you can initiate </w:t>
      </w:r>
      <w:r w:rsidR="00646133" w:rsidRPr="008D7831">
        <w:rPr>
          <w:rFonts w:ascii="Arial" w:hAnsi="Arial" w:cs="Arial"/>
          <w:sz w:val="22"/>
        </w:rPr>
        <w:t xml:space="preserve">the </w:t>
      </w:r>
      <w:r w:rsidR="00646133" w:rsidRPr="00BC1BC8">
        <w:rPr>
          <w:rFonts w:ascii="Arial" w:hAnsi="Arial" w:cs="Arial"/>
          <w:sz w:val="22"/>
        </w:rPr>
        <w:t xml:space="preserve">request </w:t>
      </w:r>
      <w:r w:rsidR="00646133">
        <w:rPr>
          <w:rFonts w:ascii="Arial" w:hAnsi="Arial" w:cs="Arial"/>
          <w:sz w:val="22"/>
        </w:rPr>
        <w:t>after the blackout period ends.</w:t>
      </w:r>
    </w:p>
    <w:p w14:paraId="7628EFEC" w14:textId="77777777" w:rsidR="004A1A12" w:rsidRDefault="0043288F" w:rsidP="00646133">
      <w:pPr>
        <w:rPr>
          <w:rFonts w:ascii="Arial" w:hAnsi="Arial" w:cs="Arial"/>
          <w:sz w:val="22"/>
          <w:szCs w:val="22"/>
        </w:rPr>
      </w:pPr>
      <w:r>
        <w:rPr>
          <w:rFonts w:ascii="Arial" w:hAnsi="Arial" w:cs="Arial"/>
          <w:sz w:val="22"/>
        </w:rPr>
        <w:t xml:space="preserve"> </w:t>
      </w:r>
    </w:p>
    <w:p w14:paraId="1B89258D" w14:textId="77777777" w:rsidR="004A1A12" w:rsidRDefault="004A1A12" w:rsidP="00267128">
      <w:pPr>
        <w:rPr>
          <w:rFonts w:ascii="Arial" w:hAnsi="Arial" w:cs="Arial"/>
          <w:sz w:val="22"/>
          <w:szCs w:val="22"/>
        </w:rPr>
      </w:pPr>
      <w:r>
        <w:rPr>
          <w:rFonts w:ascii="Arial" w:hAnsi="Arial" w:cs="Arial"/>
          <w:sz w:val="22"/>
          <w:szCs w:val="22"/>
        </w:rPr>
        <w:t xml:space="preserve">You will receive </w:t>
      </w:r>
      <w:r w:rsidR="00004334">
        <w:rPr>
          <w:rFonts w:ascii="Arial" w:hAnsi="Arial" w:cs="Arial"/>
          <w:sz w:val="22"/>
          <w:szCs w:val="22"/>
        </w:rPr>
        <w:t xml:space="preserve">an enrollment booklet containing </w:t>
      </w:r>
      <w:r w:rsidR="00C42A43">
        <w:rPr>
          <w:rFonts w:ascii="Arial" w:hAnsi="Arial" w:cs="Arial"/>
          <w:sz w:val="22"/>
          <w:szCs w:val="22"/>
        </w:rPr>
        <w:t xml:space="preserve">new </w:t>
      </w:r>
      <w:r>
        <w:rPr>
          <w:rFonts w:ascii="Arial" w:hAnsi="Arial" w:cs="Arial"/>
          <w:sz w:val="22"/>
          <w:szCs w:val="22"/>
        </w:rPr>
        <w:t xml:space="preserve">investment </w:t>
      </w:r>
      <w:r w:rsidR="00004334">
        <w:rPr>
          <w:rFonts w:ascii="Arial" w:hAnsi="Arial" w:cs="Arial"/>
          <w:sz w:val="22"/>
          <w:szCs w:val="22"/>
        </w:rPr>
        <w:t xml:space="preserve">and plan-related information to help you </w:t>
      </w:r>
      <w:r w:rsidR="0002316C">
        <w:rPr>
          <w:rFonts w:ascii="Arial" w:hAnsi="Arial" w:cs="Arial"/>
          <w:sz w:val="22"/>
          <w:szCs w:val="22"/>
        </w:rPr>
        <w:t xml:space="preserve">with your future investment elections. </w:t>
      </w:r>
    </w:p>
    <w:p w14:paraId="77724C97" w14:textId="77777777" w:rsidR="00F819E1" w:rsidRDefault="00F819E1" w:rsidP="00267128">
      <w:pPr>
        <w:rPr>
          <w:rFonts w:ascii="Arial" w:hAnsi="Arial" w:cs="Arial"/>
          <w:sz w:val="22"/>
          <w:szCs w:val="22"/>
        </w:rPr>
      </w:pPr>
    </w:p>
    <w:p w14:paraId="76F129CC" w14:textId="77777777" w:rsidR="00F819E1" w:rsidRPr="00E20752" w:rsidRDefault="00F819E1" w:rsidP="00F819E1">
      <w:pPr>
        <w:rPr>
          <w:rFonts w:ascii="Arial" w:hAnsi="Arial" w:cs="Arial"/>
          <w:b/>
          <w:sz w:val="22"/>
          <w:szCs w:val="22"/>
        </w:rPr>
      </w:pPr>
      <w:r w:rsidRPr="00E20752">
        <w:rPr>
          <w:rFonts w:ascii="Arial" w:hAnsi="Arial" w:cs="Arial"/>
          <w:b/>
          <w:sz w:val="22"/>
          <w:szCs w:val="22"/>
        </w:rPr>
        <w:t>What to consider before the blackout period begins</w:t>
      </w:r>
    </w:p>
    <w:p w14:paraId="1CDD7B83" w14:textId="77777777" w:rsidR="00F819E1" w:rsidRPr="00E20752" w:rsidRDefault="00F819E1" w:rsidP="00F819E1">
      <w:pPr>
        <w:rPr>
          <w:rFonts w:ascii="Arial" w:hAnsi="Arial" w:cs="Arial"/>
          <w:b/>
          <w:sz w:val="20"/>
        </w:rPr>
      </w:pPr>
    </w:p>
    <w:p w14:paraId="77D80290" w14:textId="77777777" w:rsidR="00F819E1" w:rsidRPr="00E20752" w:rsidRDefault="00F819E1" w:rsidP="00F819E1">
      <w:pPr>
        <w:rPr>
          <w:rFonts w:ascii="Arial" w:hAnsi="Arial" w:cs="Arial"/>
          <w:sz w:val="22"/>
          <w:szCs w:val="22"/>
        </w:rPr>
      </w:pPr>
      <w:r w:rsidRPr="00E20752">
        <w:rPr>
          <w:rFonts w:ascii="Arial" w:hAnsi="Arial" w:cs="Arial"/>
          <w:sz w:val="22"/>
          <w:szCs w:val="22"/>
        </w:rPr>
        <w:t>During the blackout period, you will be unable to direct or diversify the assets held in your plan account. For this reason, it is very important that you review and consider the appropriateness of your current investments in light of your inability to direct or diversify those investments during the blackout period. For your long-term retirement security, you should give careful consideration to the importance of a well-balanced and diversified investment portfolio, taking into account all your assets, income and investments.</w:t>
      </w:r>
    </w:p>
    <w:p w14:paraId="34E7546F" w14:textId="77777777" w:rsidR="00EA333D" w:rsidRPr="00A83CE9" w:rsidRDefault="00EA333D" w:rsidP="00166627">
      <w:pPr>
        <w:pStyle w:val="Heading4"/>
        <w:spacing w:before="240" w:after="120"/>
        <w:rPr>
          <w:rFonts w:ascii="Arial" w:hAnsi="Arial" w:cs="Arial"/>
          <w:sz w:val="22"/>
        </w:rPr>
      </w:pPr>
      <w:bookmarkStart w:id="0" w:name="OLE_LINK1"/>
      <w:bookmarkStart w:id="1" w:name="OLE_LINK2"/>
      <w:r w:rsidRPr="00A83CE9">
        <w:rPr>
          <w:rFonts w:ascii="Arial" w:hAnsi="Arial" w:cs="Arial"/>
          <w:sz w:val="22"/>
        </w:rPr>
        <w:t>What happens during the plan’s transition?</w:t>
      </w:r>
    </w:p>
    <w:p w14:paraId="299F058F" w14:textId="77957A72" w:rsidR="0020456B" w:rsidRDefault="00C42A43" w:rsidP="00166627">
      <w:pPr>
        <w:rPr>
          <w:rFonts w:ascii="Arial" w:hAnsi="Arial" w:cs="Arial"/>
          <w:color w:val="FF0000"/>
          <w:sz w:val="22"/>
        </w:rPr>
      </w:pPr>
      <w:r>
        <w:rPr>
          <w:rFonts w:ascii="Arial" w:hAnsi="Arial" w:cs="Arial"/>
          <w:sz w:val="22"/>
        </w:rPr>
        <w:t xml:space="preserve">Your existing account balance will remain in your current investments until the assets are transferred.  The </w:t>
      </w:r>
      <w:r w:rsidR="00660E86">
        <w:rPr>
          <w:rFonts w:ascii="Arial" w:hAnsi="Arial" w:cs="Arial"/>
          <w:sz w:val="22"/>
        </w:rPr>
        <w:t>plan assets</w:t>
      </w:r>
      <w:r>
        <w:rPr>
          <w:rFonts w:ascii="Arial" w:hAnsi="Arial" w:cs="Arial"/>
          <w:sz w:val="22"/>
        </w:rPr>
        <w:t xml:space="preserve"> will be </w:t>
      </w:r>
      <w:r w:rsidRPr="00A83CE9">
        <w:rPr>
          <w:rFonts w:ascii="Arial" w:hAnsi="Arial" w:cs="Arial"/>
          <w:sz w:val="22"/>
        </w:rPr>
        <w:t>transferred into a holding account</w:t>
      </w:r>
      <w:r w:rsidRPr="00470749">
        <w:rPr>
          <w:rFonts w:ascii="Arial" w:hAnsi="Arial" w:cs="Arial"/>
          <w:sz w:val="22"/>
        </w:rPr>
        <w:t xml:space="preserve"> </w:t>
      </w:r>
      <w:r w:rsidR="00071B2D">
        <w:rPr>
          <w:rFonts w:ascii="Arial" w:hAnsi="Arial" w:cs="Arial"/>
          <w:sz w:val="22"/>
        </w:rPr>
        <w:t>on the new platform</w:t>
      </w:r>
      <w:r>
        <w:rPr>
          <w:rFonts w:ascii="Arial" w:hAnsi="Arial" w:cs="Arial"/>
          <w:sz w:val="22"/>
        </w:rPr>
        <w:t xml:space="preserve"> and invested in the </w:t>
      </w:r>
      <w:r w:rsidR="007F5716">
        <w:rPr>
          <w:rFonts w:ascii="Arial" w:hAnsi="Arial" w:cs="Arial"/>
          <w:sz w:val="22"/>
        </w:rPr>
        <w:t>American Funds Target Date Series 2040 fund.</w:t>
      </w:r>
      <w:r>
        <w:rPr>
          <w:rFonts w:ascii="Arial" w:hAnsi="Arial" w:cs="Arial"/>
          <w:color w:val="FF0000"/>
          <w:sz w:val="22"/>
        </w:rPr>
        <w:t xml:space="preserve">  </w:t>
      </w:r>
      <w:r w:rsidR="0020456B" w:rsidRPr="00A83CE9">
        <w:rPr>
          <w:rFonts w:ascii="Arial" w:hAnsi="Arial" w:cs="Arial"/>
          <w:sz w:val="22"/>
        </w:rPr>
        <w:t xml:space="preserve">Any contributions made during the </w:t>
      </w:r>
      <w:r w:rsidR="0020456B">
        <w:rPr>
          <w:rFonts w:ascii="Arial" w:hAnsi="Arial" w:cs="Arial"/>
          <w:sz w:val="22"/>
        </w:rPr>
        <w:t>blackout period</w:t>
      </w:r>
      <w:r w:rsidR="0020456B" w:rsidRPr="00A83CE9">
        <w:rPr>
          <w:rFonts w:ascii="Arial" w:hAnsi="Arial" w:cs="Arial"/>
          <w:sz w:val="22"/>
        </w:rPr>
        <w:t xml:space="preserve"> will be invested in an American Funds Target Date Retirement Series</w:t>
      </w:r>
      <w:r w:rsidR="0020456B" w:rsidRPr="00A83CE9">
        <w:rPr>
          <w:rFonts w:ascii="Arial" w:hAnsi="Arial" w:cs="Arial"/>
          <w:sz w:val="22"/>
          <w:vertAlign w:val="superscript"/>
        </w:rPr>
        <w:t>®</w:t>
      </w:r>
      <w:r w:rsidR="0020456B" w:rsidRPr="00A83CE9">
        <w:rPr>
          <w:rFonts w:ascii="Arial" w:hAnsi="Arial" w:cs="Arial"/>
          <w:sz w:val="22"/>
        </w:rPr>
        <w:t xml:space="preserve"> fund based </w:t>
      </w:r>
      <w:r w:rsidR="0020456B">
        <w:rPr>
          <w:rFonts w:ascii="Arial" w:hAnsi="Arial" w:cs="Arial"/>
          <w:sz w:val="22"/>
        </w:rPr>
        <w:t>on your date of birth and</w:t>
      </w:r>
      <w:r w:rsidR="0020456B" w:rsidRPr="00A83CE9">
        <w:rPr>
          <w:rFonts w:ascii="Arial" w:hAnsi="Arial" w:cs="Arial"/>
          <w:sz w:val="22"/>
        </w:rPr>
        <w:t xml:space="preserve"> an assumed retirement age of 65.</w:t>
      </w:r>
    </w:p>
    <w:p w14:paraId="54A5139E" w14:textId="77777777" w:rsidR="0020456B" w:rsidRDefault="0020456B" w:rsidP="00166627">
      <w:pPr>
        <w:rPr>
          <w:rFonts w:ascii="Arial" w:hAnsi="Arial" w:cs="Arial"/>
          <w:color w:val="FF0000"/>
          <w:sz w:val="22"/>
        </w:rPr>
      </w:pPr>
    </w:p>
    <w:p w14:paraId="5BEE77FA" w14:textId="77777777" w:rsidR="003865A6" w:rsidRPr="00A83CE9" w:rsidRDefault="0063706A" w:rsidP="00166627">
      <w:pPr>
        <w:rPr>
          <w:rFonts w:ascii="Arial" w:hAnsi="Arial" w:cs="Arial"/>
          <w:sz w:val="22"/>
        </w:rPr>
      </w:pPr>
      <w:r w:rsidRPr="00B67745">
        <w:rPr>
          <w:rFonts w:ascii="Arial" w:hAnsi="Arial" w:cs="Arial"/>
          <w:color w:val="000000"/>
          <w:sz w:val="22"/>
        </w:rPr>
        <w:t xml:space="preserve">At the end of the blackout period, if you have not made </w:t>
      </w:r>
      <w:r w:rsidR="00643D9A" w:rsidRPr="00B67745">
        <w:rPr>
          <w:rFonts w:ascii="Arial" w:hAnsi="Arial" w:cs="Arial"/>
          <w:color w:val="000000"/>
          <w:sz w:val="22"/>
        </w:rPr>
        <w:t>elections using the instructions that will be provided to you</w:t>
      </w:r>
      <w:r w:rsidRPr="00B67745">
        <w:rPr>
          <w:rFonts w:ascii="Arial" w:hAnsi="Arial" w:cs="Arial"/>
          <w:color w:val="000000"/>
          <w:sz w:val="22"/>
        </w:rPr>
        <w:t>, your</w:t>
      </w:r>
      <w:r w:rsidR="0020456B" w:rsidRPr="00B67745">
        <w:rPr>
          <w:rFonts w:ascii="Arial" w:hAnsi="Arial" w:cs="Arial"/>
          <w:color w:val="000000"/>
          <w:sz w:val="22"/>
        </w:rPr>
        <w:t xml:space="preserve"> future contributions and current account balance will be invested in the applicable target date fund</w:t>
      </w:r>
      <w:r w:rsidR="00465335" w:rsidRPr="00B67745">
        <w:rPr>
          <w:rFonts w:ascii="Arial" w:hAnsi="Arial" w:cs="Arial"/>
          <w:color w:val="000000"/>
          <w:sz w:val="22"/>
        </w:rPr>
        <w:t xml:space="preserve">. </w:t>
      </w:r>
      <w:r w:rsidR="0020456B" w:rsidRPr="00A83CE9">
        <w:rPr>
          <w:rFonts w:ascii="Arial" w:hAnsi="Arial" w:cs="Arial"/>
          <w:sz w:val="22"/>
          <w:szCs w:val="22"/>
        </w:rPr>
        <w:t xml:space="preserve">You can </w:t>
      </w:r>
      <w:r w:rsidR="0020456B">
        <w:rPr>
          <w:rFonts w:ascii="Arial" w:hAnsi="Arial" w:cs="Arial"/>
          <w:sz w:val="22"/>
          <w:szCs w:val="22"/>
        </w:rPr>
        <w:t xml:space="preserve">always </w:t>
      </w:r>
      <w:r w:rsidR="0020456B" w:rsidRPr="00A83CE9">
        <w:rPr>
          <w:rFonts w:ascii="Arial" w:hAnsi="Arial" w:cs="Arial"/>
          <w:sz w:val="22"/>
          <w:szCs w:val="22"/>
        </w:rPr>
        <w:t>move your money out of the target date fund and make new investment election</w:t>
      </w:r>
      <w:r w:rsidR="0020456B">
        <w:rPr>
          <w:rFonts w:ascii="Arial" w:hAnsi="Arial" w:cs="Arial"/>
          <w:sz w:val="22"/>
          <w:szCs w:val="22"/>
        </w:rPr>
        <w:t>s</w:t>
      </w:r>
      <w:r w:rsidR="0020456B" w:rsidRPr="00A83CE9">
        <w:rPr>
          <w:rFonts w:ascii="Arial" w:hAnsi="Arial" w:cs="Arial"/>
          <w:sz w:val="22"/>
          <w:szCs w:val="22"/>
        </w:rPr>
        <w:t xml:space="preserve"> for your future contributions after the </w:t>
      </w:r>
      <w:r w:rsidR="0020456B">
        <w:rPr>
          <w:rFonts w:ascii="Arial" w:hAnsi="Arial" w:cs="Arial"/>
          <w:sz w:val="22"/>
          <w:szCs w:val="22"/>
        </w:rPr>
        <w:t>blackout period</w:t>
      </w:r>
      <w:r w:rsidR="0020456B" w:rsidRPr="00A83CE9">
        <w:rPr>
          <w:rFonts w:ascii="Arial" w:hAnsi="Arial" w:cs="Arial"/>
          <w:sz w:val="22"/>
          <w:szCs w:val="22"/>
        </w:rPr>
        <w:t xml:space="preserve"> end</w:t>
      </w:r>
      <w:r w:rsidR="0020456B">
        <w:rPr>
          <w:rFonts w:ascii="Arial" w:hAnsi="Arial" w:cs="Arial"/>
          <w:sz w:val="22"/>
          <w:szCs w:val="22"/>
        </w:rPr>
        <w:t>s.</w:t>
      </w:r>
    </w:p>
    <w:p w14:paraId="667D9B05" w14:textId="77777777" w:rsidR="003865A6" w:rsidRPr="00A83CE9" w:rsidRDefault="003865A6" w:rsidP="00166627">
      <w:pPr>
        <w:rPr>
          <w:rFonts w:ascii="Arial" w:hAnsi="Arial" w:cs="Arial"/>
          <w:sz w:val="22"/>
        </w:rPr>
      </w:pPr>
    </w:p>
    <w:p w14:paraId="7BB0E98D" w14:textId="77777777" w:rsidR="00DE1D83" w:rsidRPr="00A83CE9" w:rsidRDefault="00DE1D83" w:rsidP="00DE1D83">
      <w:pPr>
        <w:rPr>
          <w:rFonts w:ascii="Arial" w:hAnsi="Arial" w:cs="Arial"/>
          <w:sz w:val="22"/>
          <w:szCs w:val="22"/>
        </w:rPr>
      </w:pPr>
      <w:r>
        <w:rPr>
          <w:rFonts w:ascii="Arial" w:hAnsi="Arial" w:cs="Arial"/>
          <w:sz w:val="22"/>
          <w:szCs w:val="22"/>
        </w:rPr>
        <w:t>Please note, any plan assets that are transferred to Capital Group after the blackout period ends will be invested into your account using your current investment elections on file, if applicable</w:t>
      </w:r>
    </w:p>
    <w:p w14:paraId="4CFCC527" w14:textId="77777777" w:rsidR="00CD48D4" w:rsidRDefault="00CD48D4" w:rsidP="00166627">
      <w:pPr>
        <w:rPr>
          <w:rFonts w:ascii="Arial" w:hAnsi="Arial" w:cs="Arial"/>
          <w:i/>
          <w:sz w:val="22"/>
          <w:szCs w:val="22"/>
        </w:rPr>
      </w:pPr>
    </w:p>
    <w:p w14:paraId="4076890E" w14:textId="52259C43" w:rsidR="009E2224" w:rsidRDefault="00DE1D83" w:rsidP="00166627">
      <w:pPr>
        <w:rPr>
          <w:rFonts w:ascii="Arial" w:hAnsi="Arial" w:cs="Arial"/>
          <w:strike/>
          <w:sz w:val="22"/>
          <w:szCs w:val="22"/>
        </w:rPr>
      </w:pPr>
      <w:r w:rsidRPr="004C1E59">
        <w:rPr>
          <w:rFonts w:ascii="Arial" w:hAnsi="Arial" w:cs="Arial"/>
          <w:color w:val="FF0000"/>
          <w:sz w:val="22"/>
          <w:szCs w:val="22"/>
        </w:rPr>
        <w:t xml:space="preserve"> </w:t>
      </w:r>
    </w:p>
    <w:p w14:paraId="1E74C411" w14:textId="507DBAE1" w:rsidR="009E2224" w:rsidRPr="00A83CE9" w:rsidRDefault="009E2224" w:rsidP="009E2224">
      <w:pPr>
        <w:rPr>
          <w:rFonts w:ascii="Arial" w:hAnsi="Arial" w:cs="Arial"/>
          <w:sz w:val="22"/>
          <w:szCs w:val="22"/>
        </w:rPr>
      </w:pPr>
      <w:r w:rsidRPr="00B67745">
        <w:rPr>
          <w:rFonts w:ascii="Arial" w:hAnsi="Arial" w:cs="Arial"/>
          <w:b/>
          <w:bCs/>
          <w:color w:val="000000"/>
          <w:sz w:val="22"/>
          <w:szCs w:val="22"/>
        </w:rPr>
        <w:t>NOTE:</w:t>
      </w:r>
      <w:r w:rsidRPr="00B67745">
        <w:rPr>
          <w:rFonts w:ascii="Arial" w:hAnsi="Arial" w:cs="Arial"/>
          <w:color w:val="000000"/>
          <w:sz w:val="22"/>
          <w:szCs w:val="22"/>
        </w:rPr>
        <w:t xml:space="preserve"> </w:t>
      </w:r>
      <w:r>
        <w:rPr>
          <w:rFonts w:ascii="Arial" w:hAnsi="Arial" w:cs="Arial"/>
          <w:sz w:val="22"/>
          <w:szCs w:val="22"/>
        </w:rPr>
        <w:t xml:space="preserve">dividends that accrue to the holding account during the blackout period will be allocated to your account but will remain in the </w:t>
      </w:r>
      <w:r>
        <w:rPr>
          <w:rFonts w:ascii="Arial" w:hAnsi="Arial" w:cs="Arial"/>
          <w:sz w:val="22"/>
        </w:rPr>
        <w:t>holding account fund</w:t>
      </w:r>
      <w:r w:rsidR="007F5716">
        <w:rPr>
          <w:rFonts w:ascii="Arial" w:hAnsi="Arial" w:cs="Arial"/>
          <w:sz w:val="22"/>
        </w:rPr>
        <w:t xml:space="preserve">. </w:t>
      </w:r>
      <w:r w:rsidR="001026B5">
        <w:rPr>
          <w:rFonts w:ascii="Arial" w:hAnsi="Arial" w:cs="Arial"/>
          <w:sz w:val="22"/>
          <w:szCs w:val="22"/>
        </w:rPr>
        <w:t xml:space="preserve">Dividends are paid two business days after the end of </w:t>
      </w:r>
      <w:r w:rsidR="001026B5">
        <w:rPr>
          <w:rFonts w:ascii="Arial" w:hAnsi="Arial" w:cs="Arial"/>
          <w:sz w:val="22"/>
          <w:szCs w:val="22"/>
        </w:rPr>
        <w:lastRenderedPageBreak/>
        <w:t>each month.  You can make changes to the allocation of the dividends in your account once blackout lifts and the dividends have been allocated to your account.</w:t>
      </w:r>
      <w:r>
        <w:rPr>
          <w:rFonts w:ascii="Arial" w:hAnsi="Arial" w:cs="Arial"/>
          <w:sz w:val="16"/>
          <w:szCs w:val="16"/>
        </w:rPr>
        <w:t xml:space="preserve">  </w:t>
      </w:r>
      <w:r>
        <w:rPr>
          <w:rFonts w:ascii="Arial" w:hAnsi="Arial" w:cs="Arial"/>
          <w:sz w:val="22"/>
          <w:szCs w:val="22"/>
        </w:rPr>
        <w:t xml:space="preserve"> </w:t>
      </w:r>
    </w:p>
    <w:p w14:paraId="00927BD3" w14:textId="77777777" w:rsidR="003865A6" w:rsidRPr="00A83CE9" w:rsidRDefault="003865A6" w:rsidP="00166627">
      <w:pPr>
        <w:pStyle w:val="Heading4"/>
        <w:spacing w:before="240" w:after="120"/>
        <w:rPr>
          <w:rFonts w:ascii="Arial" w:hAnsi="Arial" w:cs="Arial"/>
          <w:sz w:val="22"/>
        </w:rPr>
      </w:pPr>
      <w:r w:rsidRPr="00A83CE9">
        <w:rPr>
          <w:rFonts w:ascii="Arial" w:hAnsi="Arial" w:cs="Arial"/>
          <w:sz w:val="22"/>
        </w:rPr>
        <w:t>What are the American Funds target date funds?</w:t>
      </w:r>
    </w:p>
    <w:p w14:paraId="0EA4F13F" w14:textId="77777777" w:rsidR="00D06CBE" w:rsidRDefault="00B908E4" w:rsidP="00166627">
      <w:pPr>
        <w:rPr>
          <w:rFonts w:ascii="Arial" w:hAnsi="Arial" w:cs="Arial"/>
          <w:sz w:val="22"/>
        </w:rPr>
      </w:pPr>
      <w:r w:rsidRPr="007B678D">
        <w:rPr>
          <w:rFonts w:ascii="Arial" w:hAnsi="Arial" w:cs="Arial"/>
          <w:sz w:val="22"/>
        </w:rPr>
        <w:t>Each of the</w:t>
      </w:r>
      <w:r w:rsidR="00D06CBE" w:rsidRPr="007B678D">
        <w:rPr>
          <w:rFonts w:ascii="Arial" w:hAnsi="Arial" w:cs="Arial"/>
          <w:sz w:val="22"/>
        </w:rPr>
        <w:t xml:space="preserve"> target date funds </w:t>
      </w:r>
      <w:r w:rsidRPr="007B678D">
        <w:rPr>
          <w:rFonts w:ascii="Arial" w:hAnsi="Arial" w:cs="Arial"/>
          <w:sz w:val="22"/>
        </w:rPr>
        <w:t xml:space="preserve">is a </w:t>
      </w:r>
      <w:r w:rsidR="00D06CBE" w:rsidRPr="007B678D">
        <w:rPr>
          <w:rFonts w:ascii="Arial" w:hAnsi="Arial" w:cs="Arial"/>
          <w:sz w:val="22"/>
        </w:rPr>
        <w:t xml:space="preserve">single diversified </w:t>
      </w:r>
      <w:r w:rsidRPr="007B678D">
        <w:rPr>
          <w:rFonts w:ascii="Arial" w:hAnsi="Arial" w:cs="Arial"/>
          <w:sz w:val="22"/>
        </w:rPr>
        <w:t xml:space="preserve">investment </w:t>
      </w:r>
      <w:r w:rsidR="00D06CBE" w:rsidRPr="007B678D">
        <w:rPr>
          <w:rFonts w:ascii="Arial" w:hAnsi="Arial" w:cs="Arial"/>
          <w:sz w:val="22"/>
        </w:rPr>
        <w:t xml:space="preserve">portfolio </w:t>
      </w:r>
      <w:r w:rsidRPr="007B678D">
        <w:rPr>
          <w:rFonts w:ascii="Arial" w:hAnsi="Arial" w:cs="Arial"/>
          <w:sz w:val="22"/>
        </w:rPr>
        <w:t>of mutual funds and is targeted to a specific retirement date. They offer the</w:t>
      </w:r>
      <w:r w:rsidR="00D06CBE" w:rsidRPr="007B678D">
        <w:rPr>
          <w:rFonts w:ascii="Arial" w:hAnsi="Arial" w:cs="Arial"/>
          <w:sz w:val="22"/>
        </w:rPr>
        <w:t xml:space="preserve"> following benefits:</w:t>
      </w:r>
    </w:p>
    <w:p w14:paraId="68C7BC14" w14:textId="77777777" w:rsidR="00A77313" w:rsidRPr="007B678D" w:rsidRDefault="00A77313" w:rsidP="00166627">
      <w:pPr>
        <w:rPr>
          <w:rFonts w:ascii="Arial" w:hAnsi="Arial" w:cs="Arial"/>
          <w:sz w:val="22"/>
        </w:rPr>
      </w:pPr>
    </w:p>
    <w:p w14:paraId="51872777" w14:textId="77777777" w:rsidR="00E6076C" w:rsidRDefault="00D06CBE" w:rsidP="00166627">
      <w:pPr>
        <w:pStyle w:val="ListParagraph"/>
        <w:numPr>
          <w:ilvl w:val="0"/>
          <w:numId w:val="4"/>
        </w:numPr>
        <w:rPr>
          <w:rFonts w:ascii="Arial" w:hAnsi="Arial" w:cs="Arial"/>
          <w:sz w:val="22"/>
        </w:rPr>
      </w:pPr>
      <w:r w:rsidRPr="00AF1F82">
        <w:rPr>
          <w:rFonts w:ascii="Arial" w:hAnsi="Arial" w:cs="Arial"/>
          <w:b/>
          <w:sz w:val="22"/>
        </w:rPr>
        <w:t>Diversification</w:t>
      </w:r>
      <w:r w:rsidR="00837864" w:rsidRPr="00AF1F82">
        <w:rPr>
          <w:rFonts w:ascii="Arial" w:hAnsi="Arial" w:cs="Arial"/>
          <w:b/>
          <w:i/>
          <w:sz w:val="22"/>
        </w:rPr>
        <w:t xml:space="preserve"> —</w:t>
      </w:r>
      <w:r w:rsidRPr="00AF1F82">
        <w:rPr>
          <w:rFonts w:ascii="Arial" w:hAnsi="Arial" w:cs="Arial"/>
          <w:b/>
          <w:i/>
          <w:sz w:val="22"/>
        </w:rPr>
        <w:t xml:space="preserve"> </w:t>
      </w:r>
      <w:r w:rsidRPr="00AF1F82">
        <w:rPr>
          <w:rFonts w:ascii="Arial" w:hAnsi="Arial" w:cs="Arial"/>
          <w:sz w:val="22"/>
        </w:rPr>
        <w:t>Each target date fund is made up of a mix of American Funds that may include growth, growth-and-income, equity-income/balanced and bond funds.</w:t>
      </w:r>
      <w:r w:rsidR="00E6076C" w:rsidRPr="00E6076C">
        <w:rPr>
          <w:rFonts w:ascii="Arial" w:hAnsi="Arial" w:cs="Arial"/>
          <w:sz w:val="22"/>
        </w:rPr>
        <w:t xml:space="preserve"> </w:t>
      </w:r>
    </w:p>
    <w:p w14:paraId="4901DA72" w14:textId="77777777" w:rsidR="00E6076C" w:rsidRDefault="00D06CBE" w:rsidP="00166627">
      <w:pPr>
        <w:pStyle w:val="ListParagraph"/>
        <w:numPr>
          <w:ilvl w:val="0"/>
          <w:numId w:val="4"/>
        </w:numPr>
        <w:rPr>
          <w:rFonts w:ascii="Arial" w:hAnsi="Arial" w:cs="Arial"/>
          <w:sz w:val="22"/>
        </w:rPr>
      </w:pPr>
      <w:r w:rsidRPr="00E6076C">
        <w:rPr>
          <w:rFonts w:ascii="Arial" w:hAnsi="Arial" w:cs="Arial"/>
          <w:b/>
          <w:sz w:val="22"/>
        </w:rPr>
        <w:t>Reallocation</w:t>
      </w:r>
      <w:r w:rsidR="00837864" w:rsidRPr="00E6076C">
        <w:rPr>
          <w:rFonts w:ascii="Arial" w:hAnsi="Arial" w:cs="Arial"/>
          <w:b/>
          <w:sz w:val="22"/>
        </w:rPr>
        <w:t xml:space="preserve"> </w:t>
      </w:r>
      <w:r w:rsidR="00837864" w:rsidRPr="00E6076C">
        <w:rPr>
          <w:rFonts w:ascii="Arial" w:hAnsi="Arial" w:cs="Arial"/>
          <w:b/>
          <w:i/>
          <w:sz w:val="22"/>
        </w:rPr>
        <w:t>—</w:t>
      </w:r>
      <w:r w:rsidRPr="00E6076C">
        <w:rPr>
          <w:rFonts w:ascii="Arial" w:hAnsi="Arial" w:cs="Arial"/>
          <w:b/>
          <w:i/>
          <w:sz w:val="22"/>
        </w:rPr>
        <w:t xml:space="preserve"> </w:t>
      </w:r>
      <w:r w:rsidRPr="00E6076C">
        <w:rPr>
          <w:rFonts w:ascii="Arial" w:hAnsi="Arial" w:cs="Arial"/>
          <w:sz w:val="22"/>
        </w:rPr>
        <w:t>Investment professionals adjust each target date funds’ holdings over time as the fund approaches its target date.</w:t>
      </w:r>
    </w:p>
    <w:p w14:paraId="67261590" w14:textId="77777777" w:rsidR="00D06CBE" w:rsidRPr="00AF1F82" w:rsidRDefault="00D06CBE" w:rsidP="00166627">
      <w:pPr>
        <w:pStyle w:val="ListParagraph"/>
        <w:numPr>
          <w:ilvl w:val="0"/>
          <w:numId w:val="4"/>
        </w:numPr>
        <w:rPr>
          <w:rFonts w:ascii="Arial" w:hAnsi="Arial" w:cs="Arial"/>
          <w:sz w:val="22"/>
        </w:rPr>
      </w:pPr>
      <w:r w:rsidRPr="00E6076C">
        <w:rPr>
          <w:rFonts w:ascii="Arial" w:hAnsi="Arial" w:cs="Arial"/>
          <w:b/>
          <w:sz w:val="22"/>
        </w:rPr>
        <w:t>Balance</w:t>
      </w:r>
      <w:r w:rsidR="00837864" w:rsidRPr="00E6076C">
        <w:rPr>
          <w:rFonts w:ascii="Arial" w:hAnsi="Arial" w:cs="Arial"/>
          <w:b/>
          <w:sz w:val="22"/>
        </w:rPr>
        <w:t xml:space="preserve"> </w:t>
      </w:r>
      <w:r w:rsidR="00837864" w:rsidRPr="00E6076C">
        <w:rPr>
          <w:rFonts w:ascii="Arial" w:hAnsi="Arial" w:cs="Arial"/>
          <w:b/>
          <w:i/>
          <w:sz w:val="22"/>
        </w:rPr>
        <w:t>—</w:t>
      </w:r>
      <w:r w:rsidRPr="00E6076C">
        <w:rPr>
          <w:rFonts w:ascii="Arial" w:hAnsi="Arial" w:cs="Arial"/>
          <w:b/>
          <w:i/>
          <w:sz w:val="22"/>
        </w:rPr>
        <w:t xml:space="preserve"> </w:t>
      </w:r>
      <w:r w:rsidRPr="00E6076C">
        <w:rPr>
          <w:rFonts w:ascii="Arial" w:hAnsi="Arial" w:cs="Arial"/>
          <w:sz w:val="22"/>
        </w:rPr>
        <w:t xml:space="preserve">The target date funds attempt to balance investors’ long-term needs for </w:t>
      </w:r>
      <w:r w:rsidR="00A04E13">
        <w:rPr>
          <w:rFonts w:ascii="Arial" w:hAnsi="Arial" w:cs="Arial"/>
          <w:sz w:val="22"/>
        </w:rPr>
        <w:t xml:space="preserve">both </w:t>
      </w:r>
      <w:r w:rsidR="00A04E13" w:rsidRPr="00E6076C">
        <w:rPr>
          <w:rFonts w:ascii="Arial" w:hAnsi="Arial" w:cs="Arial"/>
          <w:sz w:val="22"/>
        </w:rPr>
        <w:t>returns</w:t>
      </w:r>
      <w:r w:rsidRPr="00E6076C">
        <w:rPr>
          <w:rFonts w:ascii="Arial" w:hAnsi="Arial" w:cs="Arial"/>
          <w:sz w:val="22"/>
        </w:rPr>
        <w:t xml:space="preserve"> and stability, seeking to provide younger investors with higher growth potential and helping to protect the savings of older investors who are nea</w:t>
      </w:r>
      <w:r w:rsidRPr="00AF1F82">
        <w:rPr>
          <w:rFonts w:ascii="Arial" w:hAnsi="Arial" w:cs="Arial"/>
          <w:sz w:val="22"/>
        </w:rPr>
        <w:t>ring or in retirement.</w:t>
      </w:r>
    </w:p>
    <w:p w14:paraId="3B162076" w14:textId="77777777" w:rsidR="00AE00E9" w:rsidRPr="007B678D" w:rsidRDefault="00AE00E9" w:rsidP="00166627">
      <w:pPr>
        <w:rPr>
          <w:rFonts w:ascii="Arial" w:hAnsi="Arial" w:cs="Arial"/>
          <w:sz w:val="22"/>
        </w:rPr>
      </w:pPr>
    </w:p>
    <w:p w14:paraId="5AE81EF7" w14:textId="77777777" w:rsidR="00AE00E9" w:rsidRPr="00A83CE9" w:rsidRDefault="00AE00E9" w:rsidP="00166627">
      <w:pPr>
        <w:rPr>
          <w:rFonts w:ascii="Arial" w:hAnsi="Arial" w:cs="Arial"/>
          <w:sz w:val="22"/>
          <w:szCs w:val="22"/>
        </w:rPr>
      </w:pPr>
      <w:r w:rsidRPr="007B678D">
        <w:rPr>
          <w:rFonts w:ascii="Arial" w:hAnsi="Arial" w:cs="Arial"/>
          <w:color w:val="000000"/>
          <w:sz w:val="22"/>
          <w:szCs w:val="22"/>
        </w:rPr>
        <w:t xml:space="preserve">Although the target date funds are managed for investors on a projected retirement date time frame, the fund's allocation strategy does not guarantee that investors' retirement goals will be met. The target date is the year </w:t>
      </w:r>
      <w:r w:rsidR="009E2224">
        <w:rPr>
          <w:rFonts w:ascii="Arial" w:hAnsi="Arial" w:cs="Arial"/>
          <w:color w:val="000000"/>
          <w:sz w:val="22"/>
          <w:szCs w:val="22"/>
        </w:rPr>
        <w:t xml:space="preserve">that corresponds roughly to the </w:t>
      </w:r>
      <w:r w:rsidRPr="007B678D">
        <w:rPr>
          <w:rFonts w:ascii="Arial" w:hAnsi="Arial" w:cs="Arial"/>
          <w:color w:val="000000"/>
          <w:sz w:val="22"/>
          <w:szCs w:val="22"/>
        </w:rPr>
        <w:t xml:space="preserve">in which an investor is assumed to retire and begin taking withdrawals. American Funds investment professionals actively manage the target date fund's portfolio, moving it from a more growth-oriented strategy to a more income-oriented focus as the fund gets closer to its target date. Investment professionals continue to manage each fund for </w:t>
      </w:r>
      <w:r w:rsidR="009E2224">
        <w:rPr>
          <w:rFonts w:ascii="Arial" w:hAnsi="Arial" w:cs="Arial"/>
          <w:color w:val="000000"/>
          <w:sz w:val="22"/>
          <w:szCs w:val="22"/>
        </w:rPr>
        <w:t xml:space="preserve">approximately </w:t>
      </w:r>
      <w:r w:rsidRPr="007B678D">
        <w:rPr>
          <w:rFonts w:ascii="Arial" w:hAnsi="Arial" w:cs="Arial"/>
          <w:color w:val="000000"/>
          <w:sz w:val="22"/>
          <w:szCs w:val="22"/>
        </w:rPr>
        <w:t>30 years after it reaches its target date.</w:t>
      </w:r>
    </w:p>
    <w:bookmarkEnd w:id="0"/>
    <w:bookmarkEnd w:id="1"/>
    <w:p w14:paraId="15F8CA3E" w14:textId="77777777" w:rsidR="009730FA" w:rsidRDefault="00923747" w:rsidP="00E455B7">
      <w:pPr>
        <w:rPr>
          <w:rFonts w:ascii="Arial" w:hAnsi="Arial" w:cs="Arial"/>
          <w:b/>
          <w:color w:val="FF0000"/>
          <w:sz w:val="22"/>
          <w:szCs w:val="22"/>
        </w:rPr>
      </w:pPr>
      <w:r w:rsidRPr="00166627" w:rsidDel="00923747">
        <w:rPr>
          <w:rFonts w:ascii="Arial" w:hAnsi="Arial" w:cs="Arial"/>
          <w:b/>
          <w:color w:val="FF0000"/>
          <w:sz w:val="22"/>
          <w:szCs w:val="22"/>
        </w:rPr>
        <w:t xml:space="preserve"> </w:t>
      </w:r>
    </w:p>
    <w:p w14:paraId="04735E34" w14:textId="77777777" w:rsidR="009E2224" w:rsidRDefault="009E2224" w:rsidP="009E2224">
      <w:pPr>
        <w:rPr>
          <w:rFonts w:ascii="Arial" w:hAnsi="Arial" w:cs="Arial"/>
          <w:b/>
          <w:bCs/>
          <w:sz w:val="20"/>
        </w:rPr>
      </w:pPr>
      <w:r>
        <w:rPr>
          <w:rFonts w:ascii="Arial" w:hAnsi="Arial" w:cs="Arial"/>
          <w:b/>
          <w:bCs/>
          <w:sz w:val="20"/>
        </w:rPr>
        <w:t>Target Date Investment Options</w:t>
      </w:r>
    </w:p>
    <w:p w14:paraId="58F1B4C6" w14:textId="77777777" w:rsidR="009E2224" w:rsidRDefault="009E2224" w:rsidP="009E2224">
      <w:pPr>
        <w:rPr>
          <w:rFonts w:ascii="Arial" w:hAnsi="Arial" w:cs="Arial"/>
          <w:sz w:val="22"/>
          <w:szCs w:val="22"/>
        </w:rPr>
      </w:pP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2244"/>
      </w:tblGrid>
      <w:tr w:rsidR="009E2224" w:rsidRPr="009A3684" w14:paraId="2F25648A" w14:textId="77777777" w:rsidTr="00C550A4">
        <w:trPr>
          <w:trHeight w:val="288"/>
        </w:trPr>
        <w:tc>
          <w:tcPr>
            <w:tcW w:w="5157" w:type="dxa"/>
            <w:shd w:val="clear" w:color="auto" w:fill="auto"/>
            <w:vAlign w:val="bottom"/>
          </w:tcPr>
          <w:p w14:paraId="4BB0FF7F" w14:textId="77777777" w:rsidR="009E2224" w:rsidRDefault="009E2224" w:rsidP="00C550A4">
            <w:pPr>
              <w:jc w:val="center"/>
              <w:rPr>
                <w:rFonts w:ascii="AvenirNext LT Com Regular" w:hAnsi="AvenirNext LT Com Regular"/>
                <w:b/>
                <w:sz w:val="18"/>
                <w:szCs w:val="18"/>
              </w:rPr>
            </w:pPr>
          </w:p>
          <w:p w14:paraId="604696BB" w14:textId="77777777" w:rsidR="009E2224" w:rsidRPr="009A3684" w:rsidRDefault="009E2224" w:rsidP="00C550A4">
            <w:pPr>
              <w:jc w:val="center"/>
              <w:rPr>
                <w:rFonts w:ascii="AvenirNext LT Com Regular" w:hAnsi="AvenirNext LT Com Regular"/>
                <w:b/>
                <w:sz w:val="18"/>
                <w:szCs w:val="18"/>
              </w:rPr>
            </w:pPr>
            <w:r w:rsidRPr="009A3684">
              <w:rPr>
                <w:rFonts w:ascii="AvenirNext LT Com Regular" w:hAnsi="AvenirNext LT Com Regular"/>
                <w:b/>
                <w:sz w:val="18"/>
                <w:szCs w:val="18"/>
              </w:rPr>
              <w:t>Name of fund</w:t>
            </w:r>
          </w:p>
        </w:tc>
        <w:tc>
          <w:tcPr>
            <w:tcW w:w="2244" w:type="dxa"/>
            <w:shd w:val="clear" w:color="auto" w:fill="auto"/>
            <w:vAlign w:val="bottom"/>
          </w:tcPr>
          <w:p w14:paraId="0F117DD8" w14:textId="77777777" w:rsidR="009E2224" w:rsidRDefault="009E2224" w:rsidP="00C550A4">
            <w:pPr>
              <w:jc w:val="center"/>
              <w:rPr>
                <w:rFonts w:ascii="AvenirNext LT Com Regular" w:hAnsi="AvenirNext LT Com Regular"/>
                <w:b/>
                <w:sz w:val="18"/>
                <w:szCs w:val="18"/>
              </w:rPr>
            </w:pPr>
          </w:p>
          <w:p w14:paraId="2D158F40" w14:textId="77777777" w:rsidR="009E2224" w:rsidRPr="009A3684" w:rsidRDefault="009E2224" w:rsidP="00C550A4">
            <w:pPr>
              <w:jc w:val="center"/>
              <w:rPr>
                <w:rFonts w:ascii="AvenirNext LT Com Regular" w:hAnsi="AvenirNext LT Com Regular"/>
                <w:b/>
                <w:sz w:val="18"/>
                <w:szCs w:val="18"/>
              </w:rPr>
            </w:pPr>
            <w:r w:rsidRPr="009A3684">
              <w:rPr>
                <w:rFonts w:ascii="AvenirNext LT Com Regular" w:hAnsi="AvenirNext LT Com Regular"/>
                <w:b/>
                <w:sz w:val="18"/>
                <w:szCs w:val="18"/>
              </w:rPr>
              <w:t>Year of 65</w:t>
            </w:r>
            <w:r w:rsidRPr="009A3684">
              <w:rPr>
                <w:rFonts w:ascii="AvenirNext LT Com Regular" w:hAnsi="AvenirNext LT Com Regular"/>
                <w:b/>
                <w:sz w:val="18"/>
                <w:szCs w:val="18"/>
                <w:vertAlign w:val="superscript"/>
              </w:rPr>
              <w:t>th</w:t>
            </w:r>
            <w:r w:rsidRPr="009A3684">
              <w:rPr>
                <w:rFonts w:ascii="AvenirNext LT Com Regular" w:hAnsi="AvenirNext LT Com Regular"/>
                <w:b/>
                <w:sz w:val="18"/>
                <w:szCs w:val="18"/>
              </w:rPr>
              <w:t xml:space="preserve"> birthday</w:t>
            </w:r>
          </w:p>
        </w:tc>
      </w:tr>
      <w:tr w:rsidR="009E2224" w14:paraId="1ED90945" w14:textId="77777777" w:rsidTr="00C550A4">
        <w:trPr>
          <w:trHeight w:val="288"/>
        </w:trPr>
        <w:tc>
          <w:tcPr>
            <w:tcW w:w="5157" w:type="dxa"/>
            <w:shd w:val="clear" w:color="auto" w:fill="auto"/>
            <w:vAlign w:val="bottom"/>
          </w:tcPr>
          <w:p w14:paraId="488ED740" w14:textId="77777777" w:rsidR="009E2224" w:rsidRDefault="009E2224" w:rsidP="00C550A4">
            <w:pPr>
              <w:jc w:val="center"/>
              <w:rPr>
                <w:rFonts w:ascii="AvenirNext LT Com Regular" w:hAnsi="AvenirNext LT Com Regular"/>
                <w:b/>
                <w:sz w:val="18"/>
                <w:szCs w:val="18"/>
              </w:rPr>
            </w:pPr>
            <w:r>
              <w:rPr>
                <w:rFonts w:ascii="AvenirNext LT Com Regular" w:hAnsi="AvenirNext LT Com Regular"/>
                <w:color w:val="231F20"/>
                <w:sz w:val="18"/>
                <w:szCs w:val="18"/>
              </w:rPr>
              <w:t xml:space="preserve">American Funds 2065 Target Date Retirement </w:t>
            </w:r>
            <w:proofErr w:type="spellStart"/>
            <w:r>
              <w:rPr>
                <w:rFonts w:ascii="AvenirNext LT Com Regular" w:hAnsi="AvenirNext LT Com Regular"/>
                <w:color w:val="231F20"/>
                <w:sz w:val="18"/>
                <w:szCs w:val="18"/>
              </w:rPr>
              <w:t>Fund</w:t>
            </w:r>
            <w:r w:rsidRPr="00A02CB9">
              <w:rPr>
                <w:rFonts w:ascii="AvenirNext LT Com Regular" w:hAnsi="AvenirNext LT Com Regular"/>
                <w:i/>
                <w:iCs/>
                <w:sz w:val="22"/>
                <w:szCs w:val="22"/>
                <w:vertAlign w:val="superscript"/>
              </w:rPr>
              <w:t>SM</w:t>
            </w:r>
            <w:proofErr w:type="spellEnd"/>
          </w:p>
        </w:tc>
        <w:tc>
          <w:tcPr>
            <w:tcW w:w="2244" w:type="dxa"/>
            <w:shd w:val="clear" w:color="auto" w:fill="auto"/>
            <w:vAlign w:val="bottom"/>
          </w:tcPr>
          <w:p w14:paraId="2AE49947" w14:textId="77777777" w:rsidR="009E2224" w:rsidRDefault="009E2224" w:rsidP="00C550A4">
            <w:pPr>
              <w:jc w:val="center"/>
              <w:rPr>
                <w:rFonts w:ascii="AvenirNext LT Com Regular" w:hAnsi="AvenirNext LT Com Regular"/>
                <w:b/>
                <w:sz w:val="18"/>
                <w:szCs w:val="18"/>
              </w:rPr>
            </w:pPr>
            <w:r>
              <w:rPr>
                <w:rFonts w:ascii="AvenirNext LT Com Regular" w:hAnsi="AvenirNext LT Com Regular"/>
                <w:sz w:val="18"/>
                <w:szCs w:val="18"/>
              </w:rPr>
              <w:t>2063 and later</w:t>
            </w:r>
          </w:p>
        </w:tc>
      </w:tr>
      <w:tr w:rsidR="009E2224" w:rsidRPr="009A3684" w14:paraId="5E3BFF6B" w14:textId="77777777" w:rsidTr="00C550A4">
        <w:trPr>
          <w:trHeight w:val="288"/>
        </w:trPr>
        <w:tc>
          <w:tcPr>
            <w:tcW w:w="5157" w:type="dxa"/>
            <w:shd w:val="clear" w:color="auto" w:fill="auto"/>
            <w:vAlign w:val="bottom"/>
          </w:tcPr>
          <w:p w14:paraId="074552B1" w14:textId="77777777" w:rsidR="009E2224" w:rsidRPr="009A3684" w:rsidRDefault="009E2224" w:rsidP="00C550A4">
            <w:pPr>
              <w:jc w:val="center"/>
              <w:rPr>
                <w:rFonts w:ascii="AvenirNext LT Com Regular" w:hAnsi="AvenirNext LT Com Regular"/>
                <w:color w:val="231F20"/>
                <w:sz w:val="18"/>
                <w:szCs w:val="18"/>
              </w:rPr>
            </w:pPr>
            <w:r>
              <w:rPr>
                <w:rFonts w:ascii="AvenirNext LT Com Regular" w:hAnsi="AvenirNext LT Com Regular"/>
                <w:color w:val="231F20"/>
                <w:sz w:val="18"/>
                <w:szCs w:val="18"/>
              </w:rPr>
              <w:t>American Funds 2060 Target Date Retirement Fund</w:t>
            </w:r>
            <w:r>
              <w:rPr>
                <w:rFonts w:ascii="AvenirNext LT Com Regular" w:hAnsi="AvenirNext LT Com Regular"/>
                <w:i/>
                <w:iCs/>
                <w:sz w:val="22"/>
                <w:szCs w:val="22"/>
              </w:rPr>
              <w:t>®</w:t>
            </w:r>
          </w:p>
        </w:tc>
        <w:tc>
          <w:tcPr>
            <w:tcW w:w="2244" w:type="dxa"/>
            <w:shd w:val="clear" w:color="auto" w:fill="auto"/>
            <w:vAlign w:val="bottom"/>
          </w:tcPr>
          <w:p w14:paraId="098213BD" w14:textId="77777777" w:rsidR="009E2224" w:rsidRPr="009A3684" w:rsidRDefault="009E2224" w:rsidP="00C550A4">
            <w:pPr>
              <w:jc w:val="center"/>
              <w:rPr>
                <w:rFonts w:ascii="AvenirNext LT Com Regular" w:hAnsi="AvenirNext LT Com Regular"/>
                <w:sz w:val="18"/>
                <w:szCs w:val="18"/>
              </w:rPr>
            </w:pPr>
            <w:r>
              <w:rPr>
                <w:rFonts w:ascii="AvenirNext LT Com Regular" w:hAnsi="AvenirNext LT Com Regular"/>
                <w:sz w:val="18"/>
                <w:szCs w:val="18"/>
              </w:rPr>
              <w:t>2058 thru 2062</w:t>
            </w:r>
          </w:p>
        </w:tc>
      </w:tr>
      <w:tr w:rsidR="009E2224" w:rsidRPr="009A3684" w14:paraId="3B31A6C2" w14:textId="77777777" w:rsidTr="00C550A4">
        <w:trPr>
          <w:trHeight w:val="288"/>
        </w:trPr>
        <w:tc>
          <w:tcPr>
            <w:tcW w:w="5157" w:type="dxa"/>
            <w:shd w:val="clear" w:color="auto" w:fill="auto"/>
            <w:vAlign w:val="bottom"/>
          </w:tcPr>
          <w:p w14:paraId="3EC289D5"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color w:val="231F20"/>
                <w:sz w:val="18"/>
                <w:szCs w:val="18"/>
              </w:rPr>
              <w:t>American Funds 2055 Target Date Retirement Fund</w:t>
            </w:r>
            <w:r w:rsidRPr="004B38B8">
              <w:rPr>
                <w:rFonts w:ascii="AvenirNext LT Com Regular" w:hAnsi="AvenirNext LT Com Regular"/>
                <w:i/>
                <w:iCs/>
                <w:sz w:val="22"/>
                <w:szCs w:val="22"/>
              </w:rPr>
              <w:t>®</w:t>
            </w:r>
          </w:p>
        </w:tc>
        <w:tc>
          <w:tcPr>
            <w:tcW w:w="2244" w:type="dxa"/>
            <w:shd w:val="clear" w:color="auto" w:fill="auto"/>
            <w:vAlign w:val="bottom"/>
          </w:tcPr>
          <w:p w14:paraId="482E81AD"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sz w:val="18"/>
                <w:szCs w:val="18"/>
              </w:rPr>
              <w:t xml:space="preserve">2053 </w:t>
            </w:r>
            <w:r>
              <w:rPr>
                <w:rFonts w:ascii="AvenirNext LT Com Regular" w:hAnsi="AvenirNext LT Com Regular"/>
                <w:sz w:val="18"/>
                <w:szCs w:val="18"/>
              </w:rPr>
              <w:t>thru 2057</w:t>
            </w:r>
          </w:p>
        </w:tc>
      </w:tr>
      <w:tr w:rsidR="009E2224" w:rsidRPr="009A3684" w14:paraId="774FC67F" w14:textId="77777777" w:rsidTr="00C550A4">
        <w:trPr>
          <w:trHeight w:val="288"/>
        </w:trPr>
        <w:tc>
          <w:tcPr>
            <w:tcW w:w="5157" w:type="dxa"/>
            <w:shd w:val="clear" w:color="auto" w:fill="auto"/>
            <w:vAlign w:val="bottom"/>
          </w:tcPr>
          <w:p w14:paraId="7AD7434E"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color w:val="231F20"/>
                <w:sz w:val="18"/>
                <w:szCs w:val="18"/>
              </w:rPr>
              <w:t>American Funds 2050 Target Date Retirement Fund</w:t>
            </w:r>
            <w:r w:rsidRPr="004B38B8">
              <w:rPr>
                <w:rFonts w:ascii="AvenirNext LT Com Regular" w:hAnsi="AvenirNext LT Com Regular"/>
                <w:i/>
                <w:iCs/>
                <w:sz w:val="22"/>
                <w:szCs w:val="22"/>
              </w:rPr>
              <w:t>®</w:t>
            </w:r>
          </w:p>
        </w:tc>
        <w:tc>
          <w:tcPr>
            <w:tcW w:w="2244" w:type="dxa"/>
            <w:shd w:val="clear" w:color="auto" w:fill="auto"/>
            <w:vAlign w:val="bottom"/>
          </w:tcPr>
          <w:p w14:paraId="2F3DF794"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sz w:val="18"/>
                <w:szCs w:val="18"/>
              </w:rPr>
              <w:t>2048 thru 2052</w:t>
            </w:r>
          </w:p>
        </w:tc>
      </w:tr>
      <w:tr w:rsidR="009E2224" w:rsidRPr="009A3684" w14:paraId="500C2AE9" w14:textId="77777777" w:rsidTr="00C550A4">
        <w:trPr>
          <w:trHeight w:val="288"/>
        </w:trPr>
        <w:tc>
          <w:tcPr>
            <w:tcW w:w="5157" w:type="dxa"/>
            <w:shd w:val="clear" w:color="auto" w:fill="auto"/>
            <w:vAlign w:val="bottom"/>
          </w:tcPr>
          <w:p w14:paraId="4A7EFF41"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color w:val="231F20"/>
                <w:sz w:val="18"/>
                <w:szCs w:val="18"/>
              </w:rPr>
              <w:t>American Funds 2045 Target Date Retirement Fund</w:t>
            </w:r>
            <w:r w:rsidRPr="004B38B8">
              <w:rPr>
                <w:rFonts w:ascii="AvenirNext LT Com Regular" w:hAnsi="AvenirNext LT Com Regular"/>
                <w:i/>
                <w:iCs/>
                <w:sz w:val="22"/>
                <w:szCs w:val="22"/>
              </w:rPr>
              <w:t>®</w:t>
            </w:r>
          </w:p>
        </w:tc>
        <w:tc>
          <w:tcPr>
            <w:tcW w:w="2244" w:type="dxa"/>
            <w:shd w:val="clear" w:color="auto" w:fill="auto"/>
            <w:vAlign w:val="bottom"/>
          </w:tcPr>
          <w:p w14:paraId="05134A0B"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sz w:val="18"/>
                <w:szCs w:val="18"/>
              </w:rPr>
              <w:t>2043 thru 2047</w:t>
            </w:r>
          </w:p>
        </w:tc>
      </w:tr>
      <w:tr w:rsidR="009E2224" w:rsidRPr="009A3684" w14:paraId="4CBAB027" w14:textId="77777777" w:rsidTr="00C550A4">
        <w:trPr>
          <w:trHeight w:val="288"/>
        </w:trPr>
        <w:tc>
          <w:tcPr>
            <w:tcW w:w="5157" w:type="dxa"/>
            <w:shd w:val="clear" w:color="auto" w:fill="auto"/>
            <w:vAlign w:val="bottom"/>
          </w:tcPr>
          <w:p w14:paraId="7DD71F35"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color w:val="231F20"/>
                <w:sz w:val="18"/>
                <w:szCs w:val="18"/>
              </w:rPr>
              <w:t>American Funds 2040 Target Date Retirement Fund</w:t>
            </w:r>
            <w:r w:rsidRPr="004B38B8">
              <w:rPr>
                <w:rFonts w:ascii="AvenirNext LT Com Regular" w:hAnsi="AvenirNext LT Com Regular"/>
                <w:i/>
                <w:iCs/>
                <w:sz w:val="22"/>
                <w:szCs w:val="22"/>
              </w:rPr>
              <w:t>®</w:t>
            </w:r>
          </w:p>
        </w:tc>
        <w:tc>
          <w:tcPr>
            <w:tcW w:w="2244" w:type="dxa"/>
            <w:shd w:val="clear" w:color="auto" w:fill="auto"/>
            <w:vAlign w:val="bottom"/>
          </w:tcPr>
          <w:p w14:paraId="40D52A0B"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sz w:val="18"/>
                <w:szCs w:val="18"/>
              </w:rPr>
              <w:t>2038 thru 2042</w:t>
            </w:r>
          </w:p>
        </w:tc>
      </w:tr>
      <w:tr w:rsidR="009E2224" w:rsidRPr="009A3684" w14:paraId="7E4A44EC" w14:textId="77777777" w:rsidTr="00C550A4">
        <w:trPr>
          <w:trHeight w:val="288"/>
        </w:trPr>
        <w:tc>
          <w:tcPr>
            <w:tcW w:w="5157" w:type="dxa"/>
            <w:shd w:val="clear" w:color="auto" w:fill="auto"/>
            <w:vAlign w:val="bottom"/>
          </w:tcPr>
          <w:p w14:paraId="31049EF0"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color w:val="231F20"/>
                <w:sz w:val="18"/>
                <w:szCs w:val="18"/>
              </w:rPr>
              <w:t>American Funds 2035 Target Date Retirement Fund</w:t>
            </w:r>
            <w:r w:rsidRPr="004B38B8">
              <w:rPr>
                <w:rFonts w:ascii="AvenirNext LT Com Regular" w:hAnsi="AvenirNext LT Com Regular"/>
                <w:i/>
                <w:iCs/>
                <w:sz w:val="22"/>
                <w:szCs w:val="22"/>
              </w:rPr>
              <w:t>®</w:t>
            </w:r>
          </w:p>
        </w:tc>
        <w:tc>
          <w:tcPr>
            <w:tcW w:w="2244" w:type="dxa"/>
            <w:shd w:val="clear" w:color="auto" w:fill="auto"/>
            <w:vAlign w:val="bottom"/>
          </w:tcPr>
          <w:p w14:paraId="19521DB4"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sz w:val="18"/>
                <w:szCs w:val="18"/>
              </w:rPr>
              <w:t>2033 thru 2037</w:t>
            </w:r>
          </w:p>
        </w:tc>
      </w:tr>
      <w:tr w:rsidR="009E2224" w:rsidRPr="009A3684" w14:paraId="2C9D9191" w14:textId="77777777" w:rsidTr="00C550A4">
        <w:trPr>
          <w:trHeight w:val="288"/>
        </w:trPr>
        <w:tc>
          <w:tcPr>
            <w:tcW w:w="5157" w:type="dxa"/>
            <w:shd w:val="clear" w:color="auto" w:fill="auto"/>
            <w:vAlign w:val="bottom"/>
          </w:tcPr>
          <w:p w14:paraId="02431D54"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color w:val="231F20"/>
                <w:sz w:val="18"/>
                <w:szCs w:val="18"/>
              </w:rPr>
              <w:t>American Funds 2030 Target Date Retirement Fund</w:t>
            </w:r>
            <w:r w:rsidRPr="004B38B8">
              <w:rPr>
                <w:rFonts w:ascii="AvenirNext LT Com Regular" w:hAnsi="AvenirNext LT Com Regular"/>
                <w:i/>
                <w:iCs/>
                <w:sz w:val="22"/>
                <w:szCs w:val="22"/>
              </w:rPr>
              <w:t>®</w:t>
            </w:r>
          </w:p>
        </w:tc>
        <w:tc>
          <w:tcPr>
            <w:tcW w:w="2244" w:type="dxa"/>
            <w:shd w:val="clear" w:color="auto" w:fill="auto"/>
            <w:vAlign w:val="bottom"/>
          </w:tcPr>
          <w:p w14:paraId="63C8E246"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sz w:val="18"/>
                <w:szCs w:val="18"/>
              </w:rPr>
              <w:t>2028 thru 2032</w:t>
            </w:r>
          </w:p>
        </w:tc>
      </w:tr>
      <w:tr w:rsidR="009E2224" w:rsidRPr="009A3684" w14:paraId="19895DC7" w14:textId="77777777" w:rsidTr="00C550A4">
        <w:trPr>
          <w:trHeight w:val="288"/>
        </w:trPr>
        <w:tc>
          <w:tcPr>
            <w:tcW w:w="5157" w:type="dxa"/>
            <w:shd w:val="clear" w:color="auto" w:fill="auto"/>
            <w:vAlign w:val="bottom"/>
          </w:tcPr>
          <w:p w14:paraId="33E63501"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color w:val="231F20"/>
                <w:sz w:val="18"/>
                <w:szCs w:val="18"/>
              </w:rPr>
              <w:t>American Funds 2025 Target Date Retirement Fund</w:t>
            </w:r>
            <w:r w:rsidRPr="004B38B8">
              <w:rPr>
                <w:rFonts w:ascii="AvenirNext LT Com Regular" w:hAnsi="AvenirNext LT Com Regular"/>
                <w:i/>
                <w:iCs/>
                <w:sz w:val="22"/>
                <w:szCs w:val="22"/>
              </w:rPr>
              <w:t>®</w:t>
            </w:r>
          </w:p>
        </w:tc>
        <w:tc>
          <w:tcPr>
            <w:tcW w:w="2244" w:type="dxa"/>
            <w:shd w:val="clear" w:color="auto" w:fill="auto"/>
            <w:vAlign w:val="bottom"/>
          </w:tcPr>
          <w:p w14:paraId="218C2C39"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sz w:val="18"/>
                <w:szCs w:val="18"/>
              </w:rPr>
              <w:t>2023 thru 2027</w:t>
            </w:r>
          </w:p>
        </w:tc>
      </w:tr>
      <w:tr w:rsidR="009E2224" w:rsidRPr="009A3684" w14:paraId="52A5E6D5" w14:textId="77777777" w:rsidTr="00C550A4">
        <w:trPr>
          <w:trHeight w:val="288"/>
        </w:trPr>
        <w:tc>
          <w:tcPr>
            <w:tcW w:w="5157" w:type="dxa"/>
            <w:shd w:val="clear" w:color="auto" w:fill="auto"/>
            <w:vAlign w:val="bottom"/>
          </w:tcPr>
          <w:p w14:paraId="45DF5151"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color w:val="231F20"/>
                <w:sz w:val="18"/>
                <w:szCs w:val="18"/>
              </w:rPr>
              <w:t>American Funds 2020 Target Date Retirement Fund</w:t>
            </w:r>
            <w:r w:rsidRPr="004B38B8">
              <w:rPr>
                <w:rFonts w:ascii="AvenirNext LT Com Regular" w:hAnsi="AvenirNext LT Com Regular"/>
                <w:i/>
                <w:iCs/>
                <w:sz w:val="22"/>
                <w:szCs w:val="22"/>
              </w:rPr>
              <w:t>®</w:t>
            </w:r>
          </w:p>
        </w:tc>
        <w:tc>
          <w:tcPr>
            <w:tcW w:w="2244" w:type="dxa"/>
            <w:shd w:val="clear" w:color="auto" w:fill="auto"/>
            <w:vAlign w:val="bottom"/>
          </w:tcPr>
          <w:p w14:paraId="233F68D8"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sz w:val="18"/>
                <w:szCs w:val="18"/>
              </w:rPr>
              <w:t>2018 thru 2022</w:t>
            </w:r>
          </w:p>
        </w:tc>
      </w:tr>
      <w:tr w:rsidR="009E2224" w:rsidRPr="009A3684" w14:paraId="376B7034" w14:textId="77777777" w:rsidTr="00C550A4">
        <w:trPr>
          <w:trHeight w:val="288"/>
        </w:trPr>
        <w:tc>
          <w:tcPr>
            <w:tcW w:w="5157" w:type="dxa"/>
            <w:shd w:val="clear" w:color="auto" w:fill="auto"/>
            <w:vAlign w:val="bottom"/>
          </w:tcPr>
          <w:p w14:paraId="41955458" w14:textId="77777777" w:rsidR="009E2224" w:rsidRPr="009A3684" w:rsidRDefault="009E2224" w:rsidP="00C550A4">
            <w:pPr>
              <w:jc w:val="center"/>
              <w:rPr>
                <w:rFonts w:ascii="AvenirNext LT Com Regular" w:hAnsi="AvenirNext LT Com Regular"/>
                <w:color w:val="231F20"/>
                <w:sz w:val="18"/>
                <w:szCs w:val="18"/>
              </w:rPr>
            </w:pPr>
            <w:r w:rsidRPr="009A3684">
              <w:rPr>
                <w:rFonts w:ascii="AvenirNext LT Com Regular" w:hAnsi="AvenirNext LT Com Regular"/>
                <w:color w:val="231F20"/>
                <w:sz w:val="18"/>
                <w:szCs w:val="18"/>
              </w:rPr>
              <w:t>American Funds 2015 Target Date Retirement Fund</w:t>
            </w:r>
            <w:r w:rsidRPr="004B38B8">
              <w:rPr>
                <w:rFonts w:ascii="AvenirNext LT Com Regular" w:hAnsi="AvenirNext LT Com Regular"/>
                <w:i/>
                <w:iCs/>
                <w:sz w:val="22"/>
                <w:szCs w:val="22"/>
              </w:rPr>
              <w:t>®</w:t>
            </w:r>
          </w:p>
        </w:tc>
        <w:tc>
          <w:tcPr>
            <w:tcW w:w="2244" w:type="dxa"/>
            <w:shd w:val="clear" w:color="auto" w:fill="auto"/>
            <w:vAlign w:val="bottom"/>
          </w:tcPr>
          <w:p w14:paraId="18D17B14"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sz w:val="18"/>
                <w:szCs w:val="18"/>
              </w:rPr>
              <w:t>2013 thru 2017</w:t>
            </w:r>
          </w:p>
        </w:tc>
      </w:tr>
      <w:tr w:rsidR="009E2224" w:rsidRPr="009A3684" w14:paraId="43C50B72" w14:textId="77777777" w:rsidTr="00C550A4">
        <w:trPr>
          <w:trHeight w:val="288"/>
        </w:trPr>
        <w:tc>
          <w:tcPr>
            <w:tcW w:w="5157" w:type="dxa"/>
            <w:shd w:val="clear" w:color="auto" w:fill="auto"/>
            <w:vAlign w:val="bottom"/>
          </w:tcPr>
          <w:p w14:paraId="2FBC4EBD"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color w:val="231F20"/>
                <w:sz w:val="18"/>
                <w:szCs w:val="18"/>
              </w:rPr>
              <w:t>American Funds 2010 Target Date Retirement Fund</w:t>
            </w:r>
            <w:r w:rsidRPr="004B38B8">
              <w:rPr>
                <w:rFonts w:ascii="AvenirNext LT Com Regular" w:hAnsi="AvenirNext LT Com Regular"/>
                <w:i/>
                <w:iCs/>
                <w:sz w:val="22"/>
                <w:szCs w:val="22"/>
              </w:rPr>
              <w:t>®</w:t>
            </w:r>
          </w:p>
        </w:tc>
        <w:tc>
          <w:tcPr>
            <w:tcW w:w="2244" w:type="dxa"/>
            <w:shd w:val="clear" w:color="auto" w:fill="auto"/>
            <w:vAlign w:val="bottom"/>
          </w:tcPr>
          <w:p w14:paraId="662565F3" w14:textId="77777777" w:rsidR="009E2224" w:rsidRPr="009A3684" w:rsidRDefault="009E2224" w:rsidP="00C550A4">
            <w:pPr>
              <w:jc w:val="center"/>
              <w:rPr>
                <w:rFonts w:ascii="AvenirNext LT Com Regular" w:hAnsi="AvenirNext LT Com Regular"/>
                <w:sz w:val="18"/>
                <w:szCs w:val="18"/>
              </w:rPr>
            </w:pPr>
            <w:r w:rsidRPr="009A3684">
              <w:rPr>
                <w:rFonts w:ascii="AvenirNext LT Com Regular" w:hAnsi="AvenirNext LT Com Regular"/>
                <w:sz w:val="18"/>
                <w:szCs w:val="18"/>
              </w:rPr>
              <w:t>2012 and earlier</w:t>
            </w:r>
          </w:p>
        </w:tc>
      </w:tr>
    </w:tbl>
    <w:p w14:paraId="49C96AD9" w14:textId="77777777" w:rsidR="00DE1D83" w:rsidRDefault="00DE1D83" w:rsidP="009E2224">
      <w:pPr>
        <w:rPr>
          <w:rFonts w:ascii="Arial" w:hAnsi="Arial" w:cs="Arial"/>
          <w:b/>
          <w:i/>
          <w:color w:val="FF0000"/>
          <w:sz w:val="20"/>
        </w:rPr>
      </w:pPr>
    </w:p>
    <w:p w14:paraId="4F14D1AF" w14:textId="77777777" w:rsidR="00DE1D83" w:rsidRDefault="00DE1D83" w:rsidP="009E2224">
      <w:pPr>
        <w:rPr>
          <w:rFonts w:ascii="Arial" w:hAnsi="Arial" w:cs="Arial"/>
          <w:b/>
          <w:i/>
          <w:color w:val="FF0000"/>
          <w:sz w:val="20"/>
        </w:rPr>
      </w:pPr>
    </w:p>
    <w:p w14:paraId="5B41567B" w14:textId="7019881F" w:rsidR="009E2224" w:rsidRPr="00DF7368" w:rsidRDefault="007F5716" w:rsidP="009E2224">
      <w:pPr>
        <w:rPr>
          <w:rFonts w:ascii="Arial" w:hAnsi="Arial" w:cs="Arial"/>
          <w:b/>
          <w:i/>
          <w:iCs/>
          <w:sz w:val="22"/>
          <w:szCs w:val="22"/>
        </w:rPr>
      </w:pPr>
      <w:r>
        <w:rPr>
          <w:rFonts w:ascii="Arial" w:hAnsi="Arial" w:cs="Arial"/>
          <w:b/>
          <w:iCs/>
          <w:sz w:val="22"/>
          <w:szCs w:val="22"/>
        </w:rPr>
        <w:t>P</w:t>
      </w:r>
      <w:r w:rsidR="009E2224" w:rsidRPr="00C87C64">
        <w:rPr>
          <w:rFonts w:ascii="Arial" w:hAnsi="Arial" w:cs="Arial"/>
          <w:b/>
          <w:iCs/>
          <w:sz w:val="22"/>
          <w:szCs w:val="22"/>
        </w:rPr>
        <w:t>lease refer to the plan’s Qualified Default Investment Alternative (QDIA) Notice for more information about the American Funds Target Date Retirement Series. You should read this notice very carefully to understand how your plan account assets will be invested if you do not make an investment election</w:t>
      </w:r>
      <w:r w:rsidR="009E2224" w:rsidRPr="00DF7368">
        <w:rPr>
          <w:rFonts w:ascii="Arial" w:hAnsi="Arial" w:cs="Arial"/>
          <w:b/>
          <w:i/>
          <w:iCs/>
          <w:sz w:val="22"/>
          <w:szCs w:val="22"/>
        </w:rPr>
        <w:t>.</w:t>
      </w:r>
    </w:p>
    <w:p w14:paraId="749F8D30" w14:textId="77777777" w:rsidR="009E2224" w:rsidRPr="00A83CE9" w:rsidRDefault="009E2224" w:rsidP="00E455B7">
      <w:pPr>
        <w:rPr>
          <w:rFonts w:ascii="Arial" w:hAnsi="Arial" w:cs="Arial"/>
          <w:sz w:val="22"/>
        </w:rPr>
      </w:pPr>
    </w:p>
    <w:p w14:paraId="27F868D8" w14:textId="77777777" w:rsidR="00E455B7" w:rsidRPr="00A83CE9" w:rsidRDefault="00E455B7" w:rsidP="00E455B7">
      <w:pPr>
        <w:spacing w:after="120"/>
        <w:rPr>
          <w:rFonts w:ascii="Arial" w:hAnsi="Arial" w:cs="Arial"/>
          <w:b/>
          <w:sz w:val="22"/>
        </w:rPr>
      </w:pPr>
      <w:r w:rsidRPr="00A83CE9">
        <w:rPr>
          <w:rFonts w:ascii="Arial" w:hAnsi="Arial" w:cs="Arial"/>
          <w:b/>
          <w:sz w:val="22"/>
        </w:rPr>
        <w:t xml:space="preserve">What if I terminate employment during the </w:t>
      </w:r>
      <w:r w:rsidR="007B678D">
        <w:rPr>
          <w:rFonts w:ascii="Arial" w:hAnsi="Arial" w:cs="Arial"/>
          <w:b/>
          <w:sz w:val="22"/>
        </w:rPr>
        <w:t>blackout period</w:t>
      </w:r>
      <w:r w:rsidRPr="00A83CE9">
        <w:rPr>
          <w:rFonts w:ascii="Arial" w:hAnsi="Arial" w:cs="Arial"/>
          <w:b/>
          <w:sz w:val="22"/>
        </w:rPr>
        <w:t>?</w:t>
      </w:r>
    </w:p>
    <w:p w14:paraId="7FDAEA6D" w14:textId="77777777" w:rsidR="00E455B7" w:rsidRPr="00A83CE9" w:rsidRDefault="00E455B7" w:rsidP="00E455B7">
      <w:pPr>
        <w:rPr>
          <w:rFonts w:ascii="Arial" w:hAnsi="Arial" w:cs="Arial"/>
          <w:sz w:val="22"/>
        </w:rPr>
      </w:pPr>
      <w:r w:rsidRPr="00A83CE9">
        <w:rPr>
          <w:rFonts w:ascii="Arial" w:hAnsi="Arial" w:cs="Arial"/>
          <w:sz w:val="22"/>
        </w:rPr>
        <w:t xml:space="preserve">Distributions will not be processed during the </w:t>
      </w:r>
      <w:r w:rsidR="00502EF3">
        <w:rPr>
          <w:rFonts w:ascii="Arial" w:hAnsi="Arial" w:cs="Arial"/>
          <w:sz w:val="22"/>
        </w:rPr>
        <w:t>blackout period</w:t>
      </w:r>
      <w:r w:rsidRPr="00A83CE9">
        <w:rPr>
          <w:rFonts w:ascii="Arial" w:hAnsi="Arial" w:cs="Arial"/>
          <w:sz w:val="22"/>
        </w:rPr>
        <w:t xml:space="preserve">. If you leave the company during </w:t>
      </w:r>
      <w:r w:rsidR="00A43458">
        <w:rPr>
          <w:rFonts w:ascii="Arial" w:hAnsi="Arial" w:cs="Arial"/>
          <w:sz w:val="22"/>
        </w:rPr>
        <w:t xml:space="preserve">the </w:t>
      </w:r>
      <w:r w:rsidR="007B678D">
        <w:rPr>
          <w:rFonts w:ascii="Arial" w:hAnsi="Arial" w:cs="Arial"/>
          <w:sz w:val="22"/>
        </w:rPr>
        <w:t>blackout period</w:t>
      </w:r>
      <w:r w:rsidRPr="00A83CE9">
        <w:rPr>
          <w:rFonts w:ascii="Arial" w:hAnsi="Arial" w:cs="Arial"/>
          <w:sz w:val="22"/>
        </w:rPr>
        <w:t>, you’ll have to wait until the blackout is lifted before you can take a distribution.</w:t>
      </w:r>
    </w:p>
    <w:p w14:paraId="0C604E23" w14:textId="77777777" w:rsidR="00E8748C" w:rsidRPr="00A83CE9" w:rsidRDefault="00E8748C" w:rsidP="00E455B7">
      <w:pPr>
        <w:rPr>
          <w:rFonts w:ascii="Arial" w:hAnsi="Arial" w:cs="Arial"/>
          <w:sz w:val="22"/>
        </w:rPr>
      </w:pPr>
    </w:p>
    <w:p w14:paraId="65A255FA" w14:textId="77777777" w:rsidR="00295503" w:rsidRPr="00474D22" w:rsidRDefault="00295503" w:rsidP="00E455B7">
      <w:pPr>
        <w:rPr>
          <w:rFonts w:ascii="Arial" w:hAnsi="Arial" w:cs="Arial"/>
          <w:b/>
          <w:sz w:val="22"/>
        </w:rPr>
      </w:pPr>
      <w:r w:rsidRPr="00474D22">
        <w:rPr>
          <w:rFonts w:ascii="Arial" w:hAnsi="Arial" w:cs="Arial"/>
          <w:b/>
          <w:sz w:val="22"/>
        </w:rPr>
        <w:t>Whom to contact for more information</w:t>
      </w:r>
    </w:p>
    <w:p w14:paraId="1FC939AE" w14:textId="77777777" w:rsidR="00E8748C" w:rsidRPr="006D79CC" w:rsidRDefault="00E8748C" w:rsidP="00E455B7">
      <w:pPr>
        <w:rPr>
          <w:rFonts w:ascii="Arial" w:hAnsi="Arial" w:cs="Arial"/>
          <w:sz w:val="22"/>
        </w:rPr>
      </w:pPr>
    </w:p>
    <w:p w14:paraId="05B6843B" w14:textId="77777777" w:rsidR="00295503" w:rsidRDefault="00E455B7" w:rsidP="00E455B7">
      <w:pPr>
        <w:rPr>
          <w:rFonts w:ascii="Arial" w:hAnsi="Arial" w:cs="Arial"/>
          <w:sz w:val="22"/>
        </w:rPr>
      </w:pPr>
      <w:r w:rsidRPr="006D79CC">
        <w:rPr>
          <w:rFonts w:ascii="Arial" w:hAnsi="Arial" w:cs="Arial"/>
          <w:sz w:val="22"/>
        </w:rPr>
        <w:t xml:space="preserve">If you have any questions regarding the </w:t>
      </w:r>
      <w:r w:rsidR="00295503" w:rsidRPr="006D79CC">
        <w:rPr>
          <w:rFonts w:ascii="Arial" w:hAnsi="Arial" w:cs="Arial"/>
          <w:sz w:val="22"/>
        </w:rPr>
        <w:t xml:space="preserve">blackout </w:t>
      </w:r>
      <w:r w:rsidRPr="006D79CC">
        <w:rPr>
          <w:rFonts w:ascii="Arial" w:hAnsi="Arial" w:cs="Arial"/>
          <w:sz w:val="22"/>
        </w:rPr>
        <w:t>period</w:t>
      </w:r>
      <w:r w:rsidR="0063470F">
        <w:rPr>
          <w:rFonts w:ascii="Arial" w:hAnsi="Arial" w:cs="Arial"/>
          <w:sz w:val="22"/>
        </w:rPr>
        <w:t>,</w:t>
      </w:r>
      <w:r w:rsidR="00295503" w:rsidRPr="006D79CC">
        <w:rPr>
          <w:rFonts w:ascii="Arial" w:hAnsi="Arial" w:cs="Arial"/>
          <w:sz w:val="22"/>
        </w:rPr>
        <w:t xml:space="preserve"> </w:t>
      </w:r>
      <w:r w:rsidR="00034F59" w:rsidRPr="00474D22">
        <w:rPr>
          <w:rFonts w:ascii="Arial" w:hAnsi="Arial" w:cs="Arial"/>
          <w:sz w:val="22"/>
        </w:rPr>
        <w:t>including whether the blackout period has started or ended</w:t>
      </w:r>
      <w:r w:rsidRPr="006D79CC">
        <w:rPr>
          <w:rFonts w:ascii="Arial" w:hAnsi="Arial" w:cs="Arial"/>
          <w:sz w:val="22"/>
        </w:rPr>
        <w:t xml:space="preserve">, please </w:t>
      </w:r>
      <w:r w:rsidR="00423700">
        <w:rPr>
          <w:rFonts w:ascii="Arial" w:hAnsi="Arial" w:cs="Arial"/>
          <w:sz w:val="22"/>
        </w:rPr>
        <w:t>contact</w:t>
      </w:r>
      <w:r w:rsidR="00295503" w:rsidRPr="006D79CC">
        <w:rPr>
          <w:rFonts w:ascii="Arial" w:hAnsi="Arial" w:cs="Arial"/>
          <w:sz w:val="22"/>
        </w:rPr>
        <w:t>:</w:t>
      </w:r>
    </w:p>
    <w:p w14:paraId="45FB91DE" w14:textId="77777777" w:rsidR="00AF1F82" w:rsidRPr="004E69D3" w:rsidRDefault="00AF1F82" w:rsidP="00474D22">
      <w:pPr>
        <w:jc w:val="center"/>
        <w:rPr>
          <w:rFonts w:ascii="Arial" w:hAnsi="Arial" w:cs="Arial"/>
          <w:b/>
          <w:sz w:val="16"/>
          <w:szCs w:val="16"/>
        </w:rPr>
      </w:pPr>
    </w:p>
    <w:p w14:paraId="5005C8A2" w14:textId="77777777" w:rsidR="00D64E1C" w:rsidRPr="00D64E1C" w:rsidRDefault="00D64E1C" w:rsidP="00474D22">
      <w:pPr>
        <w:jc w:val="center"/>
        <w:rPr>
          <w:rFonts w:ascii="Arial" w:hAnsi="Arial" w:cs="Arial"/>
          <w:sz w:val="22"/>
        </w:rPr>
      </w:pPr>
      <w:r w:rsidRPr="00D64E1C">
        <w:rPr>
          <w:rFonts w:ascii="Arial" w:hAnsi="Arial" w:cs="Arial"/>
          <w:sz w:val="22"/>
        </w:rPr>
        <w:lastRenderedPageBreak/>
        <w:t>Kacie Zechman</w:t>
      </w:r>
    </w:p>
    <w:p w14:paraId="2DDB6060" w14:textId="77777777" w:rsidR="00D64E1C" w:rsidRPr="00D64E1C" w:rsidRDefault="00D64E1C" w:rsidP="00474D22">
      <w:pPr>
        <w:jc w:val="center"/>
        <w:rPr>
          <w:rFonts w:ascii="Arial" w:hAnsi="Arial" w:cs="Arial"/>
          <w:sz w:val="22"/>
        </w:rPr>
      </w:pPr>
      <w:r w:rsidRPr="00D64E1C">
        <w:rPr>
          <w:rFonts w:ascii="Arial" w:hAnsi="Arial" w:cs="Arial"/>
          <w:sz w:val="22"/>
        </w:rPr>
        <w:t>Mountain Association for Community Economic Development</w:t>
      </w:r>
    </w:p>
    <w:p w14:paraId="621E28DC" w14:textId="77777777" w:rsidR="00D64E1C" w:rsidRPr="00D64E1C" w:rsidRDefault="00D64E1C" w:rsidP="00474D22">
      <w:pPr>
        <w:jc w:val="center"/>
        <w:rPr>
          <w:rFonts w:ascii="Arial" w:hAnsi="Arial" w:cs="Arial"/>
          <w:sz w:val="22"/>
        </w:rPr>
      </w:pPr>
      <w:r w:rsidRPr="00D64E1C">
        <w:rPr>
          <w:rFonts w:ascii="Arial" w:hAnsi="Arial" w:cs="Arial"/>
          <w:sz w:val="22"/>
        </w:rPr>
        <w:t>433 Chestnut Street</w:t>
      </w:r>
    </w:p>
    <w:p w14:paraId="606A328F" w14:textId="77777777" w:rsidR="00D64E1C" w:rsidRPr="00D64E1C" w:rsidRDefault="00D64E1C" w:rsidP="00474D22">
      <w:pPr>
        <w:jc w:val="center"/>
        <w:rPr>
          <w:rFonts w:ascii="Arial" w:hAnsi="Arial" w:cs="Arial"/>
          <w:sz w:val="22"/>
        </w:rPr>
      </w:pPr>
      <w:r w:rsidRPr="00D64E1C">
        <w:rPr>
          <w:rFonts w:ascii="Arial" w:hAnsi="Arial" w:cs="Arial"/>
          <w:sz w:val="22"/>
        </w:rPr>
        <w:t>Berea, KY 40403</w:t>
      </w:r>
    </w:p>
    <w:p w14:paraId="36FDCC1D" w14:textId="77777777" w:rsidR="00D64E1C" w:rsidRPr="00D64E1C" w:rsidRDefault="00D64E1C" w:rsidP="00474D22">
      <w:pPr>
        <w:jc w:val="center"/>
        <w:rPr>
          <w:rFonts w:ascii="Arial" w:hAnsi="Arial" w:cs="Arial"/>
          <w:sz w:val="22"/>
        </w:rPr>
      </w:pPr>
      <w:r w:rsidRPr="00D64E1C">
        <w:rPr>
          <w:rFonts w:ascii="Arial" w:hAnsi="Arial" w:cs="Arial"/>
          <w:sz w:val="22"/>
        </w:rPr>
        <w:t>(859) 986-2373</w:t>
      </w:r>
    </w:p>
    <w:p w14:paraId="294B8247" w14:textId="77777777" w:rsidR="00E455B7" w:rsidRPr="00D64E1C" w:rsidRDefault="00E455B7" w:rsidP="00E455B7">
      <w:pPr>
        <w:rPr>
          <w:rFonts w:ascii="Arial" w:hAnsi="Arial" w:cs="Arial"/>
          <w:sz w:val="16"/>
          <w:szCs w:val="16"/>
        </w:rPr>
      </w:pPr>
    </w:p>
    <w:p w14:paraId="50D1AE0A" w14:textId="77777777" w:rsidR="009A3B8A" w:rsidRPr="00D64E1C" w:rsidRDefault="009A3B8A" w:rsidP="009A3B8A">
      <w:pPr>
        <w:rPr>
          <w:rFonts w:ascii="Arial" w:hAnsi="Arial" w:cs="Arial"/>
          <w:sz w:val="22"/>
        </w:rPr>
      </w:pPr>
      <w:r w:rsidRPr="00D64E1C">
        <w:rPr>
          <w:rFonts w:ascii="Arial" w:hAnsi="Arial" w:cs="Arial"/>
          <w:sz w:val="22"/>
        </w:rPr>
        <w:t>Please note that the</w:t>
      </w:r>
      <w:r w:rsidR="0063470F" w:rsidRPr="00D64E1C">
        <w:rPr>
          <w:rFonts w:ascii="Arial" w:hAnsi="Arial" w:cs="Arial"/>
          <w:sz w:val="22"/>
        </w:rPr>
        <w:t xml:space="preserve"> exact</w:t>
      </w:r>
      <w:r w:rsidRPr="00D64E1C">
        <w:rPr>
          <w:rFonts w:ascii="Arial" w:hAnsi="Arial" w:cs="Arial"/>
          <w:sz w:val="22"/>
        </w:rPr>
        <w:t xml:space="preserve"> date of the plan changes and the end of the blackout period </w:t>
      </w:r>
      <w:r w:rsidR="0063470F" w:rsidRPr="00D64E1C">
        <w:rPr>
          <w:rFonts w:ascii="Arial" w:hAnsi="Arial" w:cs="Arial"/>
          <w:sz w:val="22"/>
        </w:rPr>
        <w:t xml:space="preserve">will </w:t>
      </w:r>
      <w:r w:rsidRPr="00D64E1C">
        <w:rPr>
          <w:rFonts w:ascii="Arial" w:hAnsi="Arial" w:cs="Arial"/>
          <w:sz w:val="22"/>
        </w:rPr>
        <w:t>depend on the accurate, timely transfer of data from the previous platform.</w:t>
      </w:r>
      <w:r w:rsidRPr="00D64E1C">
        <w:rPr>
          <w:rFonts w:ascii="Arial" w:hAnsi="Arial" w:cs="Arial"/>
          <w:b/>
          <w:sz w:val="22"/>
        </w:rPr>
        <w:t xml:space="preserve"> </w:t>
      </w:r>
      <w:r w:rsidRPr="00D64E1C">
        <w:rPr>
          <w:rFonts w:ascii="Arial" w:hAnsi="Arial" w:cs="Arial"/>
          <w:sz w:val="22"/>
        </w:rPr>
        <w:t>If this does not occur, the end of the blackout period could be delayed</w:t>
      </w:r>
      <w:r w:rsidR="00B51178" w:rsidRPr="00D64E1C">
        <w:rPr>
          <w:rFonts w:ascii="Arial" w:hAnsi="Arial" w:cs="Arial"/>
          <w:sz w:val="22"/>
        </w:rPr>
        <w:t xml:space="preserve"> and you will be notified </w:t>
      </w:r>
      <w:r w:rsidR="0074452E" w:rsidRPr="00D64E1C">
        <w:rPr>
          <w:rFonts w:ascii="Arial" w:hAnsi="Arial" w:cs="Arial"/>
          <w:sz w:val="22"/>
        </w:rPr>
        <w:t xml:space="preserve">if there is a </w:t>
      </w:r>
      <w:r w:rsidR="00B51178" w:rsidRPr="00D64E1C">
        <w:rPr>
          <w:rFonts w:ascii="Arial" w:hAnsi="Arial" w:cs="Arial"/>
          <w:sz w:val="22"/>
        </w:rPr>
        <w:t>delay</w:t>
      </w:r>
      <w:r w:rsidRPr="00D64E1C">
        <w:rPr>
          <w:rFonts w:ascii="Arial" w:hAnsi="Arial" w:cs="Arial"/>
          <w:sz w:val="22"/>
        </w:rPr>
        <w:t>.</w:t>
      </w:r>
    </w:p>
    <w:p w14:paraId="170EA414" w14:textId="77777777" w:rsidR="0021357B" w:rsidRPr="00D64E1C" w:rsidRDefault="0021357B" w:rsidP="00E455B7">
      <w:pPr>
        <w:rPr>
          <w:rFonts w:ascii="Arial" w:hAnsi="Arial" w:cs="Arial"/>
          <w:sz w:val="22"/>
        </w:rPr>
      </w:pPr>
    </w:p>
    <w:p w14:paraId="27B96311" w14:textId="77777777" w:rsidR="00E455B7" w:rsidRPr="00D64E1C" w:rsidRDefault="00E455B7" w:rsidP="00E455B7">
      <w:pPr>
        <w:rPr>
          <w:rFonts w:ascii="Arial" w:hAnsi="Arial" w:cs="Arial"/>
          <w:sz w:val="22"/>
        </w:rPr>
      </w:pPr>
      <w:r w:rsidRPr="00D64E1C">
        <w:rPr>
          <w:rFonts w:ascii="Arial" w:hAnsi="Arial" w:cs="Arial"/>
          <w:sz w:val="22"/>
        </w:rPr>
        <w:t>Sincerely,</w:t>
      </w:r>
    </w:p>
    <w:p w14:paraId="0E1A47D0" w14:textId="77777777" w:rsidR="00E455B7" w:rsidRPr="00D64E1C" w:rsidRDefault="00E455B7" w:rsidP="00E455B7">
      <w:pPr>
        <w:rPr>
          <w:rFonts w:ascii="Arial" w:hAnsi="Arial" w:cs="Arial"/>
          <w:sz w:val="22"/>
        </w:rPr>
      </w:pPr>
    </w:p>
    <w:p w14:paraId="4D6658F5" w14:textId="77777777" w:rsidR="00D64E1C" w:rsidRPr="00D64E1C" w:rsidRDefault="00D64E1C" w:rsidP="00E455B7">
      <w:pPr>
        <w:rPr>
          <w:rFonts w:ascii="Arial" w:hAnsi="Arial" w:cs="Arial"/>
          <w:sz w:val="22"/>
        </w:rPr>
      </w:pPr>
    </w:p>
    <w:p w14:paraId="538E3BE4" w14:textId="782E75F3" w:rsidR="00D64E1C" w:rsidRPr="00D64E1C" w:rsidRDefault="003E3A4E" w:rsidP="00E455B7">
      <w:pPr>
        <w:rPr>
          <w:rFonts w:ascii="Arial" w:hAnsi="Arial" w:cs="Arial"/>
          <w:sz w:val="22"/>
        </w:rPr>
      </w:pPr>
      <w:r>
        <w:rPr>
          <w:noProof/>
        </w:rPr>
        <w:drawing>
          <wp:inline distT="0" distB="0" distL="0" distR="0" wp14:anchorId="296FEAE2" wp14:editId="4592A077">
            <wp:extent cx="18954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95475" cy="647700"/>
                    </a:xfrm>
                    <a:prstGeom prst="rect">
                      <a:avLst/>
                    </a:prstGeom>
                  </pic:spPr>
                </pic:pic>
              </a:graphicData>
            </a:graphic>
          </wp:inline>
        </w:drawing>
      </w:r>
    </w:p>
    <w:p w14:paraId="17A691F1" w14:textId="77777777" w:rsidR="00D64E1C" w:rsidRPr="00D64E1C" w:rsidRDefault="00D64E1C" w:rsidP="00E455B7">
      <w:pPr>
        <w:rPr>
          <w:rFonts w:ascii="Arial" w:hAnsi="Arial" w:cs="Arial"/>
          <w:sz w:val="22"/>
        </w:rPr>
      </w:pPr>
    </w:p>
    <w:p w14:paraId="2141B8BA" w14:textId="6A6F86AB" w:rsidR="00E455B7" w:rsidRPr="00D64E1C" w:rsidRDefault="00D64E1C" w:rsidP="00E455B7">
      <w:pPr>
        <w:rPr>
          <w:rFonts w:ascii="Arial" w:hAnsi="Arial" w:cs="Arial"/>
          <w:sz w:val="22"/>
        </w:rPr>
      </w:pPr>
      <w:r w:rsidRPr="00D64E1C">
        <w:rPr>
          <w:rFonts w:ascii="Arial" w:hAnsi="Arial" w:cs="Arial"/>
          <w:sz w:val="22"/>
        </w:rPr>
        <w:t>Kacie Zechman</w:t>
      </w:r>
    </w:p>
    <w:p w14:paraId="4EA49B2C" w14:textId="12379A7D" w:rsidR="00D64E1C" w:rsidRPr="00D64E1C" w:rsidRDefault="00D64E1C" w:rsidP="00E455B7">
      <w:pPr>
        <w:rPr>
          <w:rFonts w:ascii="Arial" w:hAnsi="Arial" w:cs="Arial"/>
          <w:sz w:val="22"/>
        </w:rPr>
      </w:pPr>
      <w:r w:rsidRPr="00D64E1C">
        <w:rPr>
          <w:rFonts w:ascii="Arial" w:hAnsi="Arial" w:cs="Arial"/>
          <w:sz w:val="22"/>
        </w:rPr>
        <w:t>Trustee</w:t>
      </w:r>
    </w:p>
    <w:p w14:paraId="6A4B834B" w14:textId="77777777" w:rsidR="00E455B7" w:rsidRPr="00A04E13" w:rsidRDefault="00E455B7" w:rsidP="00E455B7">
      <w:pPr>
        <w:rPr>
          <w:rFonts w:ascii="Arial" w:hAnsi="Arial" w:cs="Arial"/>
          <w:b/>
          <w:color w:val="FF0000"/>
          <w:sz w:val="22"/>
        </w:rPr>
      </w:pPr>
    </w:p>
    <w:p w14:paraId="6DF8C59C" w14:textId="77777777" w:rsidR="00E455B7" w:rsidRPr="00F95C30" w:rsidRDefault="00E455B7" w:rsidP="00E455B7">
      <w:pPr>
        <w:rPr>
          <w:rFonts w:ascii="Arial" w:hAnsi="Arial" w:cs="Arial"/>
          <w:b/>
          <w:sz w:val="22"/>
          <w:szCs w:val="22"/>
        </w:rPr>
      </w:pPr>
      <w:r w:rsidRPr="00F95C30">
        <w:rPr>
          <w:rFonts w:ascii="Arial" w:hAnsi="Arial" w:cs="Arial"/>
          <w:b/>
          <w:sz w:val="22"/>
          <w:szCs w:val="22"/>
        </w:rPr>
        <w:t>Investments are not FDIC-insured, nor are they deposits of or guaranteed by a bank or any other entity, so they may lose value.</w:t>
      </w:r>
    </w:p>
    <w:p w14:paraId="7BC1EB0D" w14:textId="77777777" w:rsidR="00E455B7" w:rsidRPr="00F95C30" w:rsidRDefault="00E455B7" w:rsidP="00E455B7">
      <w:pPr>
        <w:rPr>
          <w:rFonts w:ascii="Arial" w:hAnsi="Arial" w:cs="Arial"/>
          <w:b/>
          <w:sz w:val="22"/>
          <w:szCs w:val="22"/>
        </w:rPr>
      </w:pPr>
    </w:p>
    <w:p w14:paraId="59635BD0" w14:textId="77777777" w:rsidR="00FB65FD" w:rsidRPr="00F95C30" w:rsidRDefault="00FB65FD" w:rsidP="00FB65FD">
      <w:pPr>
        <w:rPr>
          <w:rFonts w:ascii="Arial" w:hAnsi="Arial" w:cs="Arial"/>
          <w:b/>
          <w:sz w:val="22"/>
          <w:szCs w:val="22"/>
        </w:rPr>
      </w:pPr>
      <w:r w:rsidRPr="00F95C30">
        <w:rPr>
          <w:rFonts w:ascii="Arial" w:hAnsi="Arial" w:cs="Arial"/>
          <w:b/>
          <w:sz w:val="22"/>
          <w:szCs w:val="22"/>
        </w:rPr>
        <w:t xml:space="preserve">Investors should carefully consider investment objectives, risks, charges and expenses. </w:t>
      </w:r>
    </w:p>
    <w:p w14:paraId="53C631C6" w14:textId="77777777" w:rsidR="00181346" w:rsidRDefault="00FB65FD" w:rsidP="00FB65FD">
      <w:pPr>
        <w:rPr>
          <w:rFonts w:ascii="Arial" w:hAnsi="Arial" w:cs="Arial"/>
          <w:b/>
          <w:sz w:val="22"/>
          <w:szCs w:val="22"/>
        </w:rPr>
      </w:pPr>
      <w:r w:rsidRPr="00F95C30">
        <w:rPr>
          <w:rFonts w:ascii="Arial" w:hAnsi="Arial" w:cs="Arial"/>
          <w:b/>
          <w:sz w:val="22"/>
          <w:szCs w:val="22"/>
        </w:rPr>
        <w:t>This and other important information is contained in the fund prospectuses and summary prospectuses, which can be obtained from a financial professional and should be read carefully before investing.</w:t>
      </w:r>
    </w:p>
    <w:p w14:paraId="75705264" w14:textId="77777777" w:rsidR="00F95C30" w:rsidRPr="00F95C30" w:rsidRDefault="00F95C30" w:rsidP="00FB65FD">
      <w:pPr>
        <w:rPr>
          <w:rFonts w:ascii="Arial" w:hAnsi="Arial" w:cs="Arial"/>
          <w:b/>
          <w:sz w:val="22"/>
          <w:szCs w:val="22"/>
        </w:rPr>
      </w:pPr>
    </w:p>
    <w:p w14:paraId="7115C1E2" w14:textId="77777777" w:rsidR="00071B2D" w:rsidRPr="00071B2D" w:rsidRDefault="00071B2D" w:rsidP="00071B2D">
      <w:pPr>
        <w:rPr>
          <w:rFonts w:ascii="Arial" w:hAnsi="Arial" w:cs="Arial"/>
          <w:sz w:val="22"/>
          <w:szCs w:val="22"/>
        </w:rPr>
      </w:pPr>
      <w:r w:rsidRPr="00071B2D">
        <w:rPr>
          <w:rFonts w:ascii="Arial" w:hAnsi="Arial" w:cs="Arial"/>
          <w:sz w:val="22"/>
          <w:szCs w:val="22"/>
        </w:rPr>
        <w:t>Securities offered through American Funds Distributors, Inc.</w:t>
      </w:r>
    </w:p>
    <w:p w14:paraId="6ABBE92B" w14:textId="77777777" w:rsidR="00071B2D" w:rsidRPr="00071B2D" w:rsidRDefault="00071B2D" w:rsidP="00071B2D">
      <w:pPr>
        <w:rPr>
          <w:rFonts w:ascii="Arial" w:hAnsi="Arial" w:cs="Arial"/>
          <w:b/>
          <w:bCs/>
          <w:sz w:val="22"/>
          <w:szCs w:val="22"/>
        </w:rPr>
      </w:pPr>
    </w:p>
    <w:p w14:paraId="45ED1061" w14:textId="77777777" w:rsidR="00071B2D" w:rsidRPr="00071B2D" w:rsidRDefault="00071B2D" w:rsidP="00071B2D">
      <w:pPr>
        <w:pStyle w:val="Heading2"/>
        <w:spacing w:before="0"/>
        <w:rPr>
          <w:b w:val="0"/>
          <w:bCs w:val="0"/>
          <w:i w:val="0"/>
          <w:iCs w:val="0"/>
          <w:sz w:val="22"/>
          <w:szCs w:val="22"/>
        </w:rPr>
      </w:pPr>
      <w:r w:rsidRPr="00071B2D">
        <w:rPr>
          <w:b w:val="0"/>
          <w:bCs w:val="0"/>
          <w:i w:val="0"/>
          <w:iCs w:val="0"/>
          <w:sz w:val="22"/>
          <w:szCs w:val="22"/>
        </w:rPr>
        <w:t>© 20</w:t>
      </w:r>
      <w:r w:rsidR="00212E55">
        <w:rPr>
          <w:b w:val="0"/>
          <w:bCs w:val="0"/>
          <w:i w:val="0"/>
          <w:iCs w:val="0"/>
          <w:sz w:val="22"/>
          <w:szCs w:val="22"/>
        </w:rPr>
        <w:t>20</w:t>
      </w:r>
      <w:r w:rsidRPr="00071B2D">
        <w:rPr>
          <w:b w:val="0"/>
          <w:bCs w:val="0"/>
          <w:i w:val="0"/>
          <w:iCs w:val="0"/>
          <w:sz w:val="22"/>
          <w:szCs w:val="22"/>
        </w:rPr>
        <w:t xml:space="preserve"> Capital Group.</w:t>
      </w:r>
    </w:p>
    <w:p w14:paraId="329A3973" w14:textId="77777777" w:rsidR="00A83CE9" w:rsidRPr="00F95C30" w:rsidRDefault="00A83CE9" w:rsidP="00A05F34">
      <w:pPr>
        <w:pStyle w:val="Heading2"/>
        <w:spacing w:before="0"/>
        <w:rPr>
          <w:b w:val="0"/>
          <w:i w:val="0"/>
          <w:sz w:val="22"/>
          <w:szCs w:val="22"/>
        </w:rPr>
      </w:pPr>
    </w:p>
    <w:sectPr w:rsidR="00A83CE9" w:rsidRPr="00F95C30" w:rsidSect="00FB50D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C54A2" w14:textId="77777777" w:rsidR="001E4EEE" w:rsidRDefault="001E4EEE">
      <w:r>
        <w:separator/>
      </w:r>
    </w:p>
  </w:endnote>
  <w:endnote w:type="continuationSeparator" w:id="0">
    <w:p w14:paraId="413D8CAD" w14:textId="77777777" w:rsidR="001E4EEE" w:rsidRDefault="001E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Com Regular">
    <w:altName w:val="Corbel"/>
    <w:charset w:val="00"/>
    <w:family w:val="swiss"/>
    <w:pitch w:val="variable"/>
    <w:sig w:usb0="00000001" w:usb1="5000204A" w:usb2="00000000" w:usb3="00000000" w:csb0="0000009B" w:csb1="00000000"/>
  </w:font>
  <w:font w:name="Serifa">
    <w:altName w:val="Courier New"/>
    <w:panose1 w:val="00000000000000000000"/>
    <w:charset w:val="4D"/>
    <w:family w:val="auto"/>
    <w:notTrueType/>
    <w:pitch w:val="variable"/>
    <w:sig w:usb0="00000007" w:usb1="00000001" w:usb2="00000000" w:usb3="00000000" w:csb0="00000093" w:csb1="00000000"/>
  </w:font>
  <w:font w:name="Atten Round New">
    <w:panose1 w:val="00000500000000000000"/>
    <w:charset w:val="00"/>
    <w:family w:val="modern"/>
    <w:notTrueType/>
    <w:pitch w:val="variable"/>
    <w:sig w:usb0="00000007" w:usb1="00000000" w:usb2="00000000" w:usb3="00000000" w:csb0="00000093" w:csb1="00000000"/>
  </w:font>
  <w:font w:name="Atten New Book">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E0E6D" w14:textId="77777777" w:rsidR="00942B7D" w:rsidRDefault="00942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31F68" w14:textId="76BD2FE8" w:rsidR="00942B7D" w:rsidRDefault="00942B7D">
    <w:pPr>
      <w:pStyle w:val="Footer"/>
    </w:pPr>
    <w:r>
      <w:rPr>
        <w:rFonts w:ascii="Serifa" w:hAnsi="Serifa"/>
        <w:noProof/>
        <w:sz w:val="16"/>
        <w:szCs w:val="16"/>
      </w:rPr>
      <w:drawing>
        <wp:inline distT="0" distB="0" distL="0" distR="0" wp14:anchorId="52E3D35D" wp14:editId="093068D6">
          <wp:extent cx="2494722" cy="324943"/>
          <wp:effectExtent l="0" t="0" r="0" b="5715"/>
          <wp:docPr id="4" name="Picture 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741" cy="3374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DB24" w14:textId="58A89B5A" w:rsidR="00942B7D" w:rsidRDefault="00FB50D8">
    <w:pPr>
      <w:pStyle w:val="Footer"/>
    </w:pPr>
    <w:r>
      <w:rPr>
        <w:rFonts w:ascii="Serifa" w:hAnsi="Serifa"/>
        <w:noProof/>
        <w:sz w:val="16"/>
        <w:szCs w:val="16"/>
      </w:rPr>
      <w:drawing>
        <wp:inline distT="0" distB="0" distL="0" distR="0" wp14:anchorId="575CA4A2" wp14:editId="1824CBFF">
          <wp:extent cx="2494722" cy="324943"/>
          <wp:effectExtent l="0" t="0" r="0" b="5715"/>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741" cy="337450"/>
                  </a:xfrm>
                  <a:prstGeom prst="rect">
                    <a:avLst/>
                  </a:prstGeom>
                </pic:spPr>
              </pic:pic>
            </a:graphicData>
          </a:graphic>
        </wp:inline>
      </w:drawing>
    </w: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7EB09" w14:textId="77777777" w:rsidR="001E4EEE" w:rsidRDefault="001E4EEE">
      <w:r>
        <w:separator/>
      </w:r>
    </w:p>
  </w:footnote>
  <w:footnote w:type="continuationSeparator" w:id="0">
    <w:p w14:paraId="040AA30F" w14:textId="77777777" w:rsidR="001E4EEE" w:rsidRDefault="001E4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4BE5B" w14:textId="77777777" w:rsidR="00942B7D" w:rsidRDefault="00942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E37A6" w14:textId="069E3D48" w:rsidR="00942B7D" w:rsidRDefault="00942B7D" w:rsidP="00942B7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5875B" w14:textId="7FA1A308" w:rsidR="00942B7D" w:rsidRDefault="00FB50D8" w:rsidP="00FB50D8">
    <w:pPr>
      <w:pStyle w:val="Header"/>
      <w:jc w:val="center"/>
    </w:pPr>
    <w:r>
      <w:rPr>
        <w:rFonts w:ascii="Atten Round New" w:hAnsi="Atten Round New" w:cs="Atten New Book"/>
        <w:noProof/>
        <w:sz w:val="16"/>
        <w:szCs w:val="16"/>
      </w:rPr>
      <w:drawing>
        <wp:inline distT="0" distB="0" distL="0" distR="0" wp14:anchorId="76F86CBA" wp14:editId="33702178">
          <wp:extent cx="3553873" cy="809298"/>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3553873" cy="8092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Times" w:hAnsi="Times" w:hint="default"/>
      </w:rPr>
    </w:lvl>
  </w:abstractNum>
  <w:abstractNum w:abstractNumId="1" w15:restartNumberingAfterBreak="0">
    <w:nsid w:val="00000004"/>
    <w:multiLevelType w:val="singleLevel"/>
    <w:tmpl w:val="00000000"/>
    <w:lvl w:ilvl="0">
      <w:start w:val="1"/>
      <w:numFmt w:val="bullet"/>
      <w:lvlText w:val="•"/>
      <w:lvlJc w:val="left"/>
      <w:pPr>
        <w:tabs>
          <w:tab w:val="num" w:pos="360"/>
        </w:tabs>
        <w:ind w:left="360" w:hanging="360"/>
      </w:pPr>
      <w:rPr>
        <w:rFonts w:ascii="Times" w:hAnsi="Times" w:hint="default"/>
      </w:rPr>
    </w:lvl>
  </w:abstractNum>
  <w:abstractNum w:abstractNumId="2" w15:restartNumberingAfterBreak="0">
    <w:nsid w:val="2148799B"/>
    <w:multiLevelType w:val="hybridMultilevel"/>
    <w:tmpl w:val="233E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23DC7"/>
    <w:multiLevelType w:val="hybridMultilevel"/>
    <w:tmpl w:val="5FB63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57EFA"/>
    <w:multiLevelType w:val="hybridMultilevel"/>
    <w:tmpl w:val="3E1ABD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B7"/>
    <w:rsid w:val="00004334"/>
    <w:rsid w:val="00013577"/>
    <w:rsid w:val="0002316C"/>
    <w:rsid w:val="0002404C"/>
    <w:rsid w:val="00032CD4"/>
    <w:rsid w:val="00033757"/>
    <w:rsid w:val="00034F59"/>
    <w:rsid w:val="00037BE6"/>
    <w:rsid w:val="00045F0E"/>
    <w:rsid w:val="00047F27"/>
    <w:rsid w:val="000575B7"/>
    <w:rsid w:val="00071B2D"/>
    <w:rsid w:val="0008330D"/>
    <w:rsid w:val="00084A9A"/>
    <w:rsid w:val="00092AEB"/>
    <w:rsid w:val="000933C7"/>
    <w:rsid w:val="00097A41"/>
    <w:rsid w:val="000A1626"/>
    <w:rsid w:val="000A1A95"/>
    <w:rsid w:val="000A55DE"/>
    <w:rsid w:val="000C33F4"/>
    <w:rsid w:val="000D05CC"/>
    <w:rsid w:val="000E546B"/>
    <w:rsid w:val="000F72B2"/>
    <w:rsid w:val="001024D2"/>
    <w:rsid w:val="001026B5"/>
    <w:rsid w:val="00111C62"/>
    <w:rsid w:val="00116C82"/>
    <w:rsid w:val="0016506B"/>
    <w:rsid w:val="00166627"/>
    <w:rsid w:val="00170E9B"/>
    <w:rsid w:val="00173B43"/>
    <w:rsid w:val="00181346"/>
    <w:rsid w:val="001844F0"/>
    <w:rsid w:val="00196739"/>
    <w:rsid w:val="001A0FA1"/>
    <w:rsid w:val="001A2301"/>
    <w:rsid w:val="001B07C7"/>
    <w:rsid w:val="001C015F"/>
    <w:rsid w:val="001D2356"/>
    <w:rsid w:val="001E4EEE"/>
    <w:rsid w:val="001E7B45"/>
    <w:rsid w:val="00202CB5"/>
    <w:rsid w:val="0020456B"/>
    <w:rsid w:val="00206A0B"/>
    <w:rsid w:val="00206C19"/>
    <w:rsid w:val="00212E55"/>
    <w:rsid w:val="0021357B"/>
    <w:rsid w:val="00213FEB"/>
    <w:rsid w:val="002215F3"/>
    <w:rsid w:val="00233DB5"/>
    <w:rsid w:val="002367FF"/>
    <w:rsid w:val="00236D8F"/>
    <w:rsid w:val="002377D2"/>
    <w:rsid w:val="00244749"/>
    <w:rsid w:val="00246E24"/>
    <w:rsid w:val="0025429B"/>
    <w:rsid w:val="00255AF3"/>
    <w:rsid w:val="00262614"/>
    <w:rsid w:val="002659A0"/>
    <w:rsid w:val="00267128"/>
    <w:rsid w:val="00281BBB"/>
    <w:rsid w:val="00295503"/>
    <w:rsid w:val="002A42B8"/>
    <w:rsid w:val="002B05C9"/>
    <w:rsid w:val="002E4692"/>
    <w:rsid w:val="002F0761"/>
    <w:rsid w:val="00306A95"/>
    <w:rsid w:val="00314865"/>
    <w:rsid w:val="00317CE7"/>
    <w:rsid w:val="00330D9C"/>
    <w:rsid w:val="00330DF4"/>
    <w:rsid w:val="003431D5"/>
    <w:rsid w:val="003479DF"/>
    <w:rsid w:val="00356A8C"/>
    <w:rsid w:val="00361E98"/>
    <w:rsid w:val="00376DF9"/>
    <w:rsid w:val="00376FFC"/>
    <w:rsid w:val="0038541E"/>
    <w:rsid w:val="003865A6"/>
    <w:rsid w:val="003922C3"/>
    <w:rsid w:val="00397E15"/>
    <w:rsid w:val="003A3E45"/>
    <w:rsid w:val="003B6B51"/>
    <w:rsid w:val="003D7C7D"/>
    <w:rsid w:val="003E0E31"/>
    <w:rsid w:val="003E2E12"/>
    <w:rsid w:val="003E3A4E"/>
    <w:rsid w:val="004050E7"/>
    <w:rsid w:val="00405C55"/>
    <w:rsid w:val="00407058"/>
    <w:rsid w:val="00413908"/>
    <w:rsid w:val="00423700"/>
    <w:rsid w:val="00431DE8"/>
    <w:rsid w:val="0043288F"/>
    <w:rsid w:val="00432ACB"/>
    <w:rsid w:val="0045196B"/>
    <w:rsid w:val="00456C3D"/>
    <w:rsid w:val="00465335"/>
    <w:rsid w:val="00474D22"/>
    <w:rsid w:val="00475479"/>
    <w:rsid w:val="0047638A"/>
    <w:rsid w:val="0049451B"/>
    <w:rsid w:val="004A1A12"/>
    <w:rsid w:val="004B3CB2"/>
    <w:rsid w:val="004B5EFA"/>
    <w:rsid w:val="004C2521"/>
    <w:rsid w:val="004D7899"/>
    <w:rsid w:val="004E69D3"/>
    <w:rsid w:val="004E7C4D"/>
    <w:rsid w:val="004F36FF"/>
    <w:rsid w:val="004F79E0"/>
    <w:rsid w:val="005000D2"/>
    <w:rsid w:val="00502DAD"/>
    <w:rsid w:val="00502EF3"/>
    <w:rsid w:val="00526B3A"/>
    <w:rsid w:val="005310EA"/>
    <w:rsid w:val="00532BD1"/>
    <w:rsid w:val="00551F53"/>
    <w:rsid w:val="005771AF"/>
    <w:rsid w:val="0058217D"/>
    <w:rsid w:val="005845E3"/>
    <w:rsid w:val="005862B3"/>
    <w:rsid w:val="0058752C"/>
    <w:rsid w:val="005A51C0"/>
    <w:rsid w:val="005B5AE0"/>
    <w:rsid w:val="005B68A8"/>
    <w:rsid w:val="005D14E3"/>
    <w:rsid w:val="005D4230"/>
    <w:rsid w:val="005D6CE6"/>
    <w:rsid w:val="005F2315"/>
    <w:rsid w:val="006061BB"/>
    <w:rsid w:val="00622E57"/>
    <w:rsid w:val="0062316D"/>
    <w:rsid w:val="0063470F"/>
    <w:rsid w:val="0063676B"/>
    <w:rsid w:val="0063706A"/>
    <w:rsid w:val="00640518"/>
    <w:rsid w:val="00643D9A"/>
    <w:rsid w:val="00646133"/>
    <w:rsid w:val="00660E86"/>
    <w:rsid w:val="00671992"/>
    <w:rsid w:val="00673BE1"/>
    <w:rsid w:val="00676272"/>
    <w:rsid w:val="00696412"/>
    <w:rsid w:val="00696FAD"/>
    <w:rsid w:val="006B76AC"/>
    <w:rsid w:val="006C1747"/>
    <w:rsid w:val="006D46FD"/>
    <w:rsid w:val="006D79CC"/>
    <w:rsid w:val="006E56D1"/>
    <w:rsid w:val="007016F0"/>
    <w:rsid w:val="007029F0"/>
    <w:rsid w:val="007054FC"/>
    <w:rsid w:val="0073376C"/>
    <w:rsid w:val="0074452E"/>
    <w:rsid w:val="00745797"/>
    <w:rsid w:val="00746E33"/>
    <w:rsid w:val="00750A89"/>
    <w:rsid w:val="007519C4"/>
    <w:rsid w:val="0075394C"/>
    <w:rsid w:val="00754E81"/>
    <w:rsid w:val="007552B8"/>
    <w:rsid w:val="0079028C"/>
    <w:rsid w:val="007A319C"/>
    <w:rsid w:val="007B678D"/>
    <w:rsid w:val="007D2D90"/>
    <w:rsid w:val="007E4EB0"/>
    <w:rsid w:val="007E5767"/>
    <w:rsid w:val="007F5716"/>
    <w:rsid w:val="00810CD9"/>
    <w:rsid w:val="00814A8F"/>
    <w:rsid w:val="00825AAB"/>
    <w:rsid w:val="00831F11"/>
    <w:rsid w:val="008335FA"/>
    <w:rsid w:val="00837864"/>
    <w:rsid w:val="008441A7"/>
    <w:rsid w:val="00845E65"/>
    <w:rsid w:val="00867503"/>
    <w:rsid w:val="008738EC"/>
    <w:rsid w:val="00883784"/>
    <w:rsid w:val="008A5C08"/>
    <w:rsid w:val="008C1611"/>
    <w:rsid w:val="008C408C"/>
    <w:rsid w:val="008D1252"/>
    <w:rsid w:val="008D31ED"/>
    <w:rsid w:val="008D5B0E"/>
    <w:rsid w:val="008F1E6F"/>
    <w:rsid w:val="008F49AB"/>
    <w:rsid w:val="00915E9C"/>
    <w:rsid w:val="00916BD7"/>
    <w:rsid w:val="009178F5"/>
    <w:rsid w:val="00921541"/>
    <w:rsid w:val="00923747"/>
    <w:rsid w:val="00942B7D"/>
    <w:rsid w:val="009730FA"/>
    <w:rsid w:val="00987E75"/>
    <w:rsid w:val="009A35B4"/>
    <w:rsid w:val="009A3B8A"/>
    <w:rsid w:val="009C7B32"/>
    <w:rsid w:val="009E162C"/>
    <w:rsid w:val="009E16AF"/>
    <w:rsid w:val="009E2224"/>
    <w:rsid w:val="009F2298"/>
    <w:rsid w:val="009F5D6A"/>
    <w:rsid w:val="009F6C8F"/>
    <w:rsid w:val="00A045F9"/>
    <w:rsid w:val="00A04E13"/>
    <w:rsid w:val="00A05F34"/>
    <w:rsid w:val="00A138F4"/>
    <w:rsid w:val="00A2376B"/>
    <w:rsid w:val="00A3170B"/>
    <w:rsid w:val="00A3452F"/>
    <w:rsid w:val="00A35B1D"/>
    <w:rsid w:val="00A43458"/>
    <w:rsid w:val="00A43DFA"/>
    <w:rsid w:val="00A70667"/>
    <w:rsid w:val="00A77313"/>
    <w:rsid w:val="00A8346A"/>
    <w:rsid w:val="00A83CE9"/>
    <w:rsid w:val="00A87F9B"/>
    <w:rsid w:val="00AA5162"/>
    <w:rsid w:val="00AB34D4"/>
    <w:rsid w:val="00AB5410"/>
    <w:rsid w:val="00AB5E04"/>
    <w:rsid w:val="00AC1432"/>
    <w:rsid w:val="00AE00E9"/>
    <w:rsid w:val="00AF1F82"/>
    <w:rsid w:val="00B102EB"/>
    <w:rsid w:val="00B44E67"/>
    <w:rsid w:val="00B51178"/>
    <w:rsid w:val="00B6649F"/>
    <w:rsid w:val="00B67745"/>
    <w:rsid w:val="00B710FA"/>
    <w:rsid w:val="00B742F9"/>
    <w:rsid w:val="00B908E4"/>
    <w:rsid w:val="00B9354D"/>
    <w:rsid w:val="00BA5901"/>
    <w:rsid w:val="00BC7AAF"/>
    <w:rsid w:val="00BD27F4"/>
    <w:rsid w:val="00BE05A1"/>
    <w:rsid w:val="00BE57F1"/>
    <w:rsid w:val="00BE7836"/>
    <w:rsid w:val="00BF168D"/>
    <w:rsid w:val="00C06CC4"/>
    <w:rsid w:val="00C20F79"/>
    <w:rsid w:val="00C22182"/>
    <w:rsid w:val="00C35696"/>
    <w:rsid w:val="00C42A43"/>
    <w:rsid w:val="00C54B3C"/>
    <w:rsid w:val="00C550A4"/>
    <w:rsid w:val="00C66413"/>
    <w:rsid w:val="00C957CE"/>
    <w:rsid w:val="00CA7341"/>
    <w:rsid w:val="00CB12E9"/>
    <w:rsid w:val="00CB2186"/>
    <w:rsid w:val="00CD2B3F"/>
    <w:rsid w:val="00CD4145"/>
    <w:rsid w:val="00CD48D4"/>
    <w:rsid w:val="00D06CBE"/>
    <w:rsid w:val="00D260FA"/>
    <w:rsid w:val="00D424C6"/>
    <w:rsid w:val="00D50516"/>
    <w:rsid w:val="00D557CD"/>
    <w:rsid w:val="00D64E1C"/>
    <w:rsid w:val="00D72B5A"/>
    <w:rsid w:val="00D7392F"/>
    <w:rsid w:val="00D73AD2"/>
    <w:rsid w:val="00D75C85"/>
    <w:rsid w:val="00D833E7"/>
    <w:rsid w:val="00DA2764"/>
    <w:rsid w:val="00DB37CB"/>
    <w:rsid w:val="00DB692C"/>
    <w:rsid w:val="00DE0390"/>
    <w:rsid w:val="00DE19F6"/>
    <w:rsid w:val="00DE1D83"/>
    <w:rsid w:val="00DF4CD8"/>
    <w:rsid w:val="00DF58DE"/>
    <w:rsid w:val="00DF6C10"/>
    <w:rsid w:val="00E01675"/>
    <w:rsid w:val="00E03A42"/>
    <w:rsid w:val="00E44AA2"/>
    <w:rsid w:val="00E455B7"/>
    <w:rsid w:val="00E6076C"/>
    <w:rsid w:val="00E85D09"/>
    <w:rsid w:val="00E8748C"/>
    <w:rsid w:val="00E91B9D"/>
    <w:rsid w:val="00E960BB"/>
    <w:rsid w:val="00EA23C0"/>
    <w:rsid w:val="00EA333D"/>
    <w:rsid w:val="00EB15D1"/>
    <w:rsid w:val="00EB55CD"/>
    <w:rsid w:val="00EC4C5C"/>
    <w:rsid w:val="00EC7EC0"/>
    <w:rsid w:val="00ED370E"/>
    <w:rsid w:val="00EE6BE5"/>
    <w:rsid w:val="00EF0F1B"/>
    <w:rsid w:val="00F40524"/>
    <w:rsid w:val="00F4091C"/>
    <w:rsid w:val="00F5376C"/>
    <w:rsid w:val="00F554AE"/>
    <w:rsid w:val="00F57251"/>
    <w:rsid w:val="00F80650"/>
    <w:rsid w:val="00F819E1"/>
    <w:rsid w:val="00F95C30"/>
    <w:rsid w:val="00F97A2A"/>
    <w:rsid w:val="00FB3A50"/>
    <w:rsid w:val="00FB50D8"/>
    <w:rsid w:val="00FB65FD"/>
    <w:rsid w:val="00FC474D"/>
    <w:rsid w:val="00FD6C78"/>
    <w:rsid w:val="00FE13CB"/>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2C7E7"/>
  <w15:docId w15:val="{F7244819-1ABE-4C55-9752-021ABB70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B7"/>
    <w:rPr>
      <w:rFonts w:ascii="Times" w:hAnsi="Times"/>
      <w:sz w:val="24"/>
    </w:rPr>
  </w:style>
  <w:style w:type="paragraph" w:styleId="Heading1">
    <w:name w:val="heading 1"/>
    <w:basedOn w:val="Normal"/>
    <w:next w:val="Normal"/>
    <w:link w:val="Heading1Char"/>
    <w:qFormat/>
    <w:rsid w:val="00A83CE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E455B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455B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455B7"/>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E455B7"/>
    <w:rPr>
      <w:rFonts w:ascii="Arial" w:hAnsi="Arial" w:cs="Arial"/>
      <w:b/>
      <w:bCs/>
      <w:i/>
      <w:iCs/>
      <w:sz w:val="28"/>
      <w:szCs w:val="28"/>
      <w:lang w:val="en-US" w:eastAsia="en-US" w:bidi="ar-SA"/>
    </w:rPr>
  </w:style>
  <w:style w:type="character" w:customStyle="1" w:styleId="Heading3Char">
    <w:name w:val="Heading 3 Char"/>
    <w:link w:val="Heading3"/>
    <w:semiHidden/>
    <w:locked/>
    <w:rsid w:val="00E455B7"/>
    <w:rPr>
      <w:rFonts w:ascii="Arial" w:hAnsi="Arial" w:cs="Arial"/>
      <w:b/>
      <w:bCs/>
      <w:sz w:val="26"/>
      <w:szCs w:val="26"/>
      <w:lang w:val="en-US" w:eastAsia="en-US" w:bidi="ar-SA"/>
    </w:rPr>
  </w:style>
  <w:style w:type="character" w:customStyle="1" w:styleId="Heading4Char">
    <w:name w:val="Heading 4 Char"/>
    <w:link w:val="Heading4"/>
    <w:semiHidden/>
    <w:locked/>
    <w:rsid w:val="00E455B7"/>
    <w:rPr>
      <w:b/>
      <w:lang w:val="en-US" w:eastAsia="en-US" w:bidi="ar-SA"/>
    </w:rPr>
  </w:style>
  <w:style w:type="paragraph" w:styleId="BalloonText">
    <w:name w:val="Balloon Text"/>
    <w:basedOn w:val="Normal"/>
    <w:semiHidden/>
    <w:rsid w:val="00622E57"/>
    <w:rPr>
      <w:rFonts w:ascii="Tahoma" w:hAnsi="Tahoma" w:cs="Tahoma"/>
      <w:sz w:val="16"/>
      <w:szCs w:val="16"/>
    </w:rPr>
  </w:style>
  <w:style w:type="character" w:styleId="CommentReference">
    <w:name w:val="annotation reference"/>
    <w:semiHidden/>
    <w:rsid w:val="00622E57"/>
    <w:rPr>
      <w:sz w:val="16"/>
      <w:szCs w:val="16"/>
    </w:rPr>
  </w:style>
  <w:style w:type="paragraph" w:styleId="CommentText">
    <w:name w:val="annotation text"/>
    <w:basedOn w:val="Normal"/>
    <w:semiHidden/>
    <w:rsid w:val="00622E57"/>
    <w:rPr>
      <w:sz w:val="20"/>
    </w:rPr>
  </w:style>
  <w:style w:type="paragraph" w:styleId="CommentSubject">
    <w:name w:val="annotation subject"/>
    <w:basedOn w:val="CommentText"/>
    <w:next w:val="CommentText"/>
    <w:semiHidden/>
    <w:rsid w:val="00622E57"/>
    <w:rPr>
      <w:b/>
      <w:bCs/>
    </w:rPr>
  </w:style>
  <w:style w:type="paragraph" w:styleId="Header">
    <w:name w:val="header"/>
    <w:basedOn w:val="Normal"/>
    <w:link w:val="HeaderChar"/>
    <w:rsid w:val="00A83CE9"/>
    <w:pPr>
      <w:tabs>
        <w:tab w:val="center" w:pos="4680"/>
        <w:tab w:val="right" w:pos="9360"/>
      </w:tabs>
    </w:pPr>
  </w:style>
  <w:style w:type="character" w:customStyle="1" w:styleId="HeaderChar">
    <w:name w:val="Header Char"/>
    <w:link w:val="Header"/>
    <w:rsid w:val="00A83CE9"/>
    <w:rPr>
      <w:rFonts w:ascii="Times" w:hAnsi="Times"/>
      <w:sz w:val="24"/>
    </w:rPr>
  </w:style>
  <w:style w:type="paragraph" w:styleId="Footer">
    <w:name w:val="footer"/>
    <w:basedOn w:val="Normal"/>
    <w:link w:val="FooterChar"/>
    <w:rsid w:val="00A83CE9"/>
    <w:pPr>
      <w:tabs>
        <w:tab w:val="center" w:pos="4680"/>
        <w:tab w:val="right" w:pos="9360"/>
      </w:tabs>
    </w:pPr>
  </w:style>
  <w:style w:type="character" w:customStyle="1" w:styleId="FooterChar">
    <w:name w:val="Footer Char"/>
    <w:link w:val="Footer"/>
    <w:rsid w:val="00A83CE9"/>
    <w:rPr>
      <w:rFonts w:ascii="Times" w:hAnsi="Times"/>
      <w:sz w:val="24"/>
    </w:rPr>
  </w:style>
  <w:style w:type="character" w:customStyle="1" w:styleId="Heading1Char">
    <w:name w:val="Heading 1 Char"/>
    <w:link w:val="Heading1"/>
    <w:rsid w:val="00A83CE9"/>
    <w:rPr>
      <w:rFonts w:ascii="Cambria" w:eastAsia="Times New Roman" w:hAnsi="Cambria" w:cs="Times New Roman"/>
      <w:b/>
      <w:bCs/>
      <w:color w:val="365F91"/>
      <w:sz w:val="28"/>
      <w:szCs w:val="28"/>
    </w:rPr>
  </w:style>
  <w:style w:type="paragraph" w:styleId="BodyText3">
    <w:name w:val="Body Text 3"/>
    <w:basedOn w:val="Normal"/>
    <w:link w:val="BodyText3Char"/>
    <w:rsid w:val="00A83CE9"/>
    <w:rPr>
      <w:sz w:val="20"/>
    </w:rPr>
  </w:style>
  <w:style w:type="character" w:customStyle="1" w:styleId="BodyText3Char">
    <w:name w:val="Body Text 3 Char"/>
    <w:link w:val="BodyText3"/>
    <w:rsid w:val="00A83CE9"/>
    <w:rPr>
      <w:rFonts w:ascii="Times" w:hAnsi="Times"/>
    </w:rPr>
  </w:style>
  <w:style w:type="character" w:styleId="Hyperlink">
    <w:name w:val="Hyperlink"/>
    <w:rsid w:val="00A83CE9"/>
    <w:rPr>
      <w:color w:val="0000FF"/>
      <w:u w:val="single"/>
    </w:rPr>
  </w:style>
  <w:style w:type="paragraph" w:styleId="ListParagraph">
    <w:name w:val="List Paragraph"/>
    <w:basedOn w:val="Normal"/>
    <w:uiPriority w:val="34"/>
    <w:qFormat/>
    <w:rsid w:val="00754E81"/>
    <w:pPr>
      <w:ind w:left="720"/>
      <w:contextualSpacing/>
    </w:pPr>
  </w:style>
  <w:style w:type="paragraph" w:styleId="Revision">
    <w:name w:val="Revision"/>
    <w:hidden/>
    <w:uiPriority w:val="99"/>
    <w:semiHidden/>
    <w:rsid w:val="0038541E"/>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440759">
      <w:bodyDiv w:val="1"/>
      <w:marLeft w:val="0"/>
      <w:marRight w:val="0"/>
      <w:marTop w:val="0"/>
      <w:marBottom w:val="0"/>
      <w:divBdr>
        <w:top w:val="none" w:sz="0" w:space="0" w:color="auto"/>
        <w:left w:val="none" w:sz="0" w:space="0" w:color="auto"/>
        <w:bottom w:val="none" w:sz="0" w:space="0" w:color="auto"/>
        <w:right w:val="none" w:sz="0" w:space="0" w:color="auto"/>
      </w:divBdr>
    </w:div>
    <w:div w:id="829751411">
      <w:bodyDiv w:val="1"/>
      <w:marLeft w:val="0"/>
      <w:marRight w:val="0"/>
      <w:marTop w:val="0"/>
      <w:marBottom w:val="0"/>
      <w:divBdr>
        <w:top w:val="none" w:sz="0" w:space="0" w:color="auto"/>
        <w:left w:val="none" w:sz="0" w:space="0" w:color="auto"/>
        <w:bottom w:val="none" w:sz="0" w:space="0" w:color="auto"/>
        <w:right w:val="none" w:sz="0" w:space="0" w:color="auto"/>
      </w:divBdr>
    </w:div>
    <w:div w:id="867765672">
      <w:bodyDiv w:val="1"/>
      <w:marLeft w:val="0"/>
      <w:marRight w:val="0"/>
      <w:marTop w:val="0"/>
      <w:marBottom w:val="0"/>
      <w:divBdr>
        <w:top w:val="none" w:sz="0" w:space="0" w:color="auto"/>
        <w:left w:val="none" w:sz="0" w:space="0" w:color="auto"/>
        <w:bottom w:val="none" w:sz="0" w:space="0" w:color="auto"/>
        <w:right w:val="none" w:sz="0" w:space="0" w:color="auto"/>
      </w:divBdr>
    </w:div>
    <w:div w:id="15559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2EA69-641A-481A-ABF4-CF1C05BE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1151</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PlanPremier® Sample Transition Letter</vt:lpstr>
    </vt:vector>
  </TitlesOfParts>
  <Company>The Capital Group</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PlanPremier® Sample Transition Letter</dc:title>
  <dc:subject/>
  <dc:creator>JFAL</dc:creator>
  <cp:keywords/>
  <cp:lastModifiedBy>HR Contractor</cp:lastModifiedBy>
  <cp:revision>4</cp:revision>
  <cp:lastPrinted>2011-03-16T16:47:00Z</cp:lastPrinted>
  <dcterms:created xsi:type="dcterms:W3CDTF">2022-05-20T13:26:00Z</dcterms:created>
  <dcterms:modified xsi:type="dcterms:W3CDTF">2022-05-20T13:47:00Z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777b5cb5-8df0-41b2-8930-f21df7172a63</vt:lpwstr>
  </property>
  <property fmtid="{D5CDD505-2E9C-101B-9397-08002B2CF9AE}" pid="3" name="ContentTypeId">
    <vt:lpwstr>0x0101009DF498DC026A664A9A0037C1958E103A</vt:lpwstr>
  </property>
  <property fmtid="{D5CDD505-2E9C-101B-9397-08002B2CF9AE}" pid="4" name="Tag">
    <vt:lpwstr/>
  </property>
  <property fmtid="{D5CDD505-2E9C-101B-9397-08002B2CF9AE}" pid="5" name="_docset_NoMedatataSyncRequired">
    <vt:lpwstr>False</vt:lpwstr>
  </property>
</Properties>
</file>